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FA971">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420" w:firstLineChars="0"/>
        <w:jc w:val="center"/>
        <w:textAlignment w:val="auto"/>
        <w:rPr>
          <w:rFonts w:hint="eastAsia" w:asciiTheme="majorEastAsia" w:hAnsiTheme="majorEastAsia" w:eastAsiaTheme="majorEastAsia" w:cstheme="majorEastAsia"/>
          <w:b/>
          <w:bCs/>
          <w:color w:val="auto"/>
          <w:sz w:val="32"/>
          <w:szCs w:val="32"/>
          <w:highlight w:val="none"/>
          <w:lang w:val="en-US" w:eastAsia="zh-CN"/>
        </w:rPr>
      </w:pPr>
      <w:bookmarkStart w:id="7" w:name="_GoBack"/>
      <w:r>
        <w:rPr>
          <w:rFonts w:hint="eastAsia" w:asciiTheme="majorEastAsia" w:hAnsiTheme="majorEastAsia" w:eastAsiaTheme="majorEastAsia" w:cstheme="majorEastAsia"/>
          <w:b/>
          <w:bCs/>
          <w:color w:val="auto"/>
          <w:sz w:val="32"/>
          <w:szCs w:val="32"/>
          <w:highlight w:val="none"/>
          <w:lang w:val="en-US" w:eastAsia="zh-CN"/>
        </w:rPr>
        <w:t>衬塑钢管管材管件采购项目预公示</w:t>
      </w:r>
      <w:bookmarkEnd w:id="7"/>
    </w:p>
    <w:p w14:paraId="73028BE9">
      <w:pPr>
        <w:pStyle w:val="27"/>
        <w:keepNext w:val="0"/>
        <w:keepLines w:val="0"/>
        <w:pageBreakBefore w:val="0"/>
        <w:numPr>
          <w:ilvl w:val="2"/>
          <w:numId w:val="0"/>
        </w:numPr>
        <w:tabs>
          <w:tab w:val="left" w:pos="9781"/>
        </w:tabs>
        <w:kinsoku/>
        <w:wordWrap/>
        <w:overflowPunct/>
        <w:topLinePunct w:val="0"/>
        <w:autoSpaceDE/>
        <w:autoSpaceDN/>
        <w:bidi w:val="0"/>
        <w:snapToGrid w:val="0"/>
        <w:spacing w:before="0" w:line="360" w:lineRule="auto"/>
        <w:ind w:right="0" w:rightChars="0"/>
        <w:jc w:val="both"/>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附件：项目清单及技术要求、商务条款</w:t>
      </w:r>
    </w:p>
    <w:p w14:paraId="741EDB69">
      <w:pPr>
        <w:keepNext w:val="0"/>
        <w:keepLines w:val="0"/>
        <w:pageBreakBefore w:val="0"/>
        <w:widowControl w:val="0"/>
        <w:numPr>
          <w:ilvl w:val="0"/>
          <w:numId w:val="0"/>
        </w:numPr>
        <w:wordWrap/>
        <w:overflowPunct/>
        <w:topLinePunct w:val="0"/>
        <w:bidi w:val="0"/>
        <w:spacing w:line="360" w:lineRule="auto"/>
        <w:ind w:left="0" w:leftChars="0" w:right="0" w:rightChars="0"/>
        <w:rPr>
          <w:rFonts w:hint="eastAsia" w:ascii="宋体" w:hAnsi="宋体" w:eastAsia="宋体" w:cs="宋体"/>
          <w:b/>
          <w:bCs/>
          <w:color w:val="auto"/>
          <w:spacing w:val="0"/>
          <w:w w:val="100"/>
          <w:position w:val="0"/>
          <w:sz w:val="32"/>
          <w:szCs w:val="32"/>
          <w:lang w:eastAsia="zh-CN"/>
        </w:rPr>
      </w:pPr>
      <w:r>
        <w:rPr>
          <w:rFonts w:hint="eastAsia" w:ascii="宋体" w:hAnsi="宋体" w:eastAsia="宋体" w:cs="宋体"/>
          <w:b/>
          <w:bCs/>
          <w:snapToGrid w:val="0"/>
          <w:color w:val="auto"/>
          <w:spacing w:val="0"/>
          <w:w w:val="100"/>
          <w:position w:val="0"/>
          <w:sz w:val="32"/>
          <w:szCs w:val="32"/>
          <w:lang w:val="en-US" w:eastAsia="zh-CN" w:bidi="ar-SA"/>
        </w:rPr>
        <w:t>一、</w:t>
      </w:r>
      <w:r>
        <w:rPr>
          <w:rFonts w:hint="eastAsia" w:ascii="宋体" w:hAnsi="宋体" w:eastAsia="宋体" w:cs="宋体"/>
          <w:b/>
          <w:bCs/>
          <w:color w:val="auto"/>
          <w:spacing w:val="0"/>
          <w:w w:val="100"/>
          <w:position w:val="0"/>
          <w:sz w:val="32"/>
          <w:szCs w:val="32"/>
          <w:lang w:eastAsia="zh-CN"/>
        </w:rPr>
        <w:t>项目清单及技术要求</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4568"/>
        <w:gridCol w:w="2155"/>
        <w:gridCol w:w="600"/>
        <w:gridCol w:w="613"/>
        <w:gridCol w:w="1200"/>
      </w:tblGrid>
      <w:tr w14:paraId="3C850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C5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序号</w:t>
            </w:r>
          </w:p>
        </w:tc>
        <w:tc>
          <w:tcPr>
            <w:tcW w:w="4568" w:type="dxa"/>
            <w:tcBorders>
              <w:top w:val="single" w:color="000000" w:sz="4" w:space="0"/>
              <w:left w:val="nil"/>
              <w:bottom w:val="single" w:color="000000" w:sz="4" w:space="0"/>
              <w:right w:val="single" w:color="000000" w:sz="4" w:space="0"/>
            </w:tcBorders>
            <w:shd w:val="clear" w:color="auto" w:fill="auto"/>
            <w:vAlign w:val="center"/>
          </w:tcPr>
          <w:p w14:paraId="5BF66C1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材料名称</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404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规格、参数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7D0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单位</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5F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数量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40A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单价控制价</w:t>
            </w:r>
          </w:p>
        </w:tc>
      </w:tr>
      <w:tr w14:paraId="06D96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98A7">
            <w:pPr>
              <w:keepNext w:val="0"/>
              <w:keepLines w:val="0"/>
              <w:widowControl/>
              <w:suppressLineNumbers w:val="0"/>
              <w:jc w:val="center"/>
              <w:textAlignment w:val="center"/>
              <w:rPr>
                <w:rFonts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413D6">
            <w:pPr>
              <w:keepNext w:val="0"/>
              <w:keepLines w:val="0"/>
              <w:widowControl/>
              <w:suppressLineNumbers w:val="0"/>
              <w:jc w:val="center"/>
              <w:textAlignment w:val="center"/>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snapToGrid w:val="0"/>
                <w:color w:val="000000"/>
                <w:kern w:val="0"/>
                <w:sz w:val="24"/>
                <w:szCs w:val="24"/>
                <w:u w:val="none"/>
                <w:lang w:val="en-US" w:eastAsia="zh-CN" w:bidi="ar"/>
              </w:rPr>
              <w:t>★</w:t>
            </w:r>
            <w:r>
              <w:rPr>
                <w:rFonts w:hint="eastAsia" w:ascii="宋体" w:hAnsi="宋体" w:eastAsia="宋体" w:cs="宋体"/>
                <w:i w:val="0"/>
                <w:iCs w:val="0"/>
                <w:snapToGrid w:val="0"/>
                <w:color w:val="000000"/>
                <w:kern w:val="0"/>
                <w:sz w:val="24"/>
                <w:szCs w:val="24"/>
                <w:u w:val="none"/>
                <w:lang w:val="en-US" w:eastAsia="zh-CN" w:bidi="ar"/>
              </w:rPr>
              <w:t>衬塑钢管</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4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60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4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9D3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206.78 </w:t>
            </w:r>
          </w:p>
        </w:tc>
      </w:tr>
      <w:tr w14:paraId="471C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120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AAEBF">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23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B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C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8B0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120.61 </w:t>
            </w:r>
          </w:p>
        </w:tc>
      </w:tr>
      <w:tr w14:paraId="01A64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0D8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09E24">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C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A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7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67B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88.17 </w:t>
            </w:r>
          </w:p>
        </w:tc>
      </w:tr>
      <w:tr w14:paraId="313C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EAD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F95B6">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A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5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CC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582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69.25 </w:t>
            </w:r>
          </w:p>
        </w:tc>
      </w:tr>
      <w:tr w14:paraId="3177B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064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A5963">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4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05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0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F0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54.56 </w:t>
            </w:r>
          </w:p>
        </w:tc>
      </w:tr>
      <w:tr w14:paraId="1028A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3B4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B182B">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D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C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75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8DE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44.64 </w:t>
            </w:r>
          </w:p>
        </w:tc>
      </w:tr>
      <w:tr w14:paraId="71A3F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227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33E17">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E5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D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5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BB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33.69 </w:t>
            </w:r>
          </w:p>
        </w:tc>
      </w:tr>
      <w:tr w14:paraId="56F5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B61C">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DC25E">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5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7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D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169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25.50 </w:t>
            </w:r>
          </w:p>
        </w:tc>
      </w:tr>
      <w:tr w14:paraId="5841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7B7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F47DD">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7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5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9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8B0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22.33 </w:t>
            </w:r>
          </w:p>
        </w:tc>
      </w:tr>
      <w:tr w14:paraId="77AA9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27A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1F21D">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5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F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69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3C6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16.29 </w:t>
            </w:r>
          </w:p>
        </w:tc>
      </w:tr>
      <w:tr w14:paraId="4DFA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B50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F35D6">
            <w:pPr>
              <w:jc w:val="center"/>
              <w:rPr>
                <w:rFonts w:hint="eastAsia" w:ascii="微软雅黑" w:hAnsi="微软雅黑" w:eastAsia="微软雅黑" w:cs="微软雅黑"/>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2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DN25*3.0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0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9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7D5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13.25 </w:t>
            </w:r>
          </w:p>
        </w:tc>
      </w:tr>
      <w:tr w14:paraId="42F13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0E6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0A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U型卡</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82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B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0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FDE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2.60 </w:t>
            </w:r>
          </w:p>
        </w:tc>
      </w:tr>
      <w:tr w14:paraId="03CB2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FAAC">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0A7B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E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A9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8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1C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1.70 </w:t>
            </w:r>
          </w:p>
        </w:tc>
      </w:tr>
      <w:tr w14:paraId="48DF0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477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1F8A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3C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03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8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1F9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1.60 </w:t>
            </w:r>
          </w:p>
        </w:tc>
      </w:tr>
      <w:tr w14:paraId="1F73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94E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B1BA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F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3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4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96D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1.30 </w:t>
            </w:r>
          </w:p>
        </w:tc>
      </w:tr>
      <w:tr w14:paraId="4A6A1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D21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1A5A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9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8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D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CDE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1.10 </w:t>
            </w:r>
          </w:p>
        </w:tc>
      </w:tr>
      <w:tr w14:paraId="48E0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3D1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259A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5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8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9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93C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1.00 </w:t>
            </w:r>
          </w:p>
        </w:tc>
      </w:tr>
      <w:tr w14:paraId="0536A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134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358D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6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E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51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A5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0.83 </w:t>
            </w:r>
          </w:p>
        </w:tc>
      </w:tr>
      <w:tr w14:paraId="79823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3EE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8ACB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9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0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0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F96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0.73 </w:t>
            </w:r>
          </w:p>
        </w:tc>
      </w:tr>
      <w:tr w14:paraId="1E04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3B4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B86E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F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4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E8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448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0.60 </w:t>
            </w:r>
          </w:p>
        </w:tc>
      </w:tr>
      <w:tr w14:paraId="66C00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487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21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7A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衬塑大小头</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01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4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2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96D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13.06 </w:t>
            </w:r>
          </w:p>
        </w:tc>
      </w:tr>
      <w:tr w14:paraId="13A99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3EA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322A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87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1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4E7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12.61 </w:t>
            </w:r>
          </w:p>
        </w:tc>
      </w:tr>
      <w:tr w14:paraId="68261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693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23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BD9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衬塑通丝</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B0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BB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5E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780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7.75 </w:t>
            </w:r>
          </w:p>
        </w:tc>
      </w:tr>
      <w:tr w14:paraId="1502D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06B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6CA3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2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94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7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F32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5.20 </w:t>
            </w:r>
          </w:p>
        </w:tc>
      </w:tr>
      <w:tr w14:paraId="5C681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472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4AEA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4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0E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D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CE1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4.50 </w:t>
            </w:r>
          </w:p>
        </w:tc>
      </w:tr>
      <w:tr w14:paraId="291A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ED0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26 </w:t>
            </w:r>
          </w:p>
        </w:tc>
        <w:tc>
          <w:tcPr>
            <w:tcW w:w="4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F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衬塑弯头</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B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1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4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481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8.90 </w:t>
            </w:r>
          </w:p>
        </w:tc>
      </w:tr>
      <w:tr w14:paraId="4E8AD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2B0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27 </w:t>
            </w:r>
          </w:p>
        </w:tc>
        <w:tc>
          <w:tcPr>
            <w:tcW w:w="4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21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衬塑直接</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A0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7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A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B11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6.65 </w:t>
            </w:r>
          </w:p>
        </w:tc>
      </w:tr>
      <w:tr w14:paraId="2F73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4AD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28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24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吊装脚铁制作含安装</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7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（小型）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2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A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C4C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63.60 </w:t>
            </w:r>
          </w:p>
        </w:tc>
      </w:tr>
      <w:tr w14:paraId="4A1CB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55E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29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8AFA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1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（大型）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1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E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332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83.52 </w:t>
            </w:r>
          </w:p>
        </w:tc>
      </w:tr>
      <w:tr w14:paraId="577E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6AE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30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3F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法兰垫片(带孔)</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6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C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8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E8E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3.50 </w:t>
            </w:r>
          </w:p>
        </w:tc>
      </w:tr>
      <w:tr w14:paraId="28E21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A20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2729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1F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4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EE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83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2.80 </w:t>
            </w:r>
          </w:p>
        </w:tc>
      </w:tr>
      <w:tr w14:paraId="2B382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AC7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7C44C">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0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B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4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080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2.00 </w:t>
            </w:r>
          </w:p>
        </w:tc>
      </w:tr>
      <w:tr w14:paraId="6B9C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94B8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A9D8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5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7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B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733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1.70 </w:t>
            </w:r>
          </w:p>
        </w:tc>
      </w:tr>
      <w:tr w14:paraId="03984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B44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34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B9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沟槽衬塑弯头90°</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E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C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6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B8D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86.63 </w:t>
            </w:r>
          </w:p>
        </w:tc>
      </w:tr>
      <w:tr w14:paraId="7B1B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CF3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12D3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C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A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D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7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39.88 </w:t>
            </w:r>
          </w:p>
        </w:tc>
      </w:tr>
      <w:tr w14:paraId="56610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1DA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38C8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4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4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F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2ED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34.38 </w:t>
            </w:r>
          </w:p>
        </w:tc>
      </w:tr>
      <w:tr w14:paraId="4B24E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286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2469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B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06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4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A3D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18.98 </w:t>
            </w:r>
          </w:p>
        </w:tc>
      </w:tr>
      <w:tr w14:paraId="15068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B79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358F2">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0D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9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B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CB7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15.18 </w:t>
            </w:r>
          </w:p>
        </w:tc>
      </w:tr>
      <w:tr w14:paraId="0654D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145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39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37C5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2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04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5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08C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13.06 </w:t>
            </w:r>
          </w:p>
        </w:tc>
      </w:tr>
      <w:tr w14:paraId="5B3A7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480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ED61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4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F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9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12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12.38 </w:t>
            </w:r>
          </w:p>
        </w:tc>
      </w:tr>
      <w:tr w14:paraId="07E28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D4D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41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8A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沟槽衬塑大小头</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E4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5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E8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F8D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37.13 </w:t>
            </w:r>
          </w:p>
        </w:tc>
      </w:tr>
      <w:tr w14:paraId="74F55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B46A">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9488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0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2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B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871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37.13 </w:t>
            </w:r>
          </w:p>
        </w:tc>
      </w:tr>
      <w:tr w14:paraId="6F1DB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A05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C371E">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F0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F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E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B86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37.13 </w:t>
            </w:r>
          </w:p>
        </w:tc>
      </w:tr>
      <w:tr w14:paraId="7F150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E52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BC9B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8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7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D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C15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29.49 </w:t>
            </w:r>
          </w:p>
        </w:tc>
      </w:tr>
      <w:tr w14:paraId="63D4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26B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05E1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5A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D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4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69E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11.00 </w:t>
            </w:r>
          </w:p>
        </w:tc>
      </w:tr>
      <w:tr w14:paraId="771A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621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47D8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AC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1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E3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259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11.00 </w:t>
            </w:r>
          </w:p>
        </w:tc>
      </w:tr>
      <w:tr w14:paraId="63012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70B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5D50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16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A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4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CFB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11.00 </w:t>
            </w:r>
          </w:p>
        </w:tc>
      </w:tr>
      <w:tr w14:paraId="73793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709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649E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C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7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D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C37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15.95 </w:t>
            </w:r>
          </w:p>
        </w:tc>
      </w:tr>
      <w:tr w14:paraId="5B408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529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49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287AC">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7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9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A2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A0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15.95 </w:t>
            </w:r>
          </w:p>
        </w:tc>
      </w:tr>
      <w:tr w14:paraId="340F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44E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D61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C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2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D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9F1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15.95 </w:t>
            </w:r>
          </w:p>
        </w:tc>
      </w:tr>
      <w:tr w14:paraId="7032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674B">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EB1A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4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1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B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DB5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18.15 </w:t>
            </w:r>
          </w:p>
        </w:tc>
      </w:tr>
      <w:tr w14:paraId="5132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FD4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1E0D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E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56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4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C8C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18.15 </w:t>
            </w:r>
          </w:p>
        </w:tc>
      </w:tr>
      <w:tr w14:paraId="77C17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54B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D5E8C">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1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B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A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BAD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18.15 </w:t>
            </w:r>
          </w:p>
        </w:tc>
      </w:tr>
      <w:tr w14:paraId="27E68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087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993B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6C0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0E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F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D3B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18.15 </w:t>
            </w:r>
          </w:p>
        </w:tc>
      </w:tr>
      <w:tr w14:paraId="0B4FD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09A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D9C0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0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E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3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102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10.31 </w:t>
            </w:r>
          </w:p>
        </w:tc>
      </w:tr>
      <w:tr w14:paraId="055B9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3B5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56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95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沟槽衬塑法兰</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B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0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3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04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56.38 </w:t>
            </w:r>
          </w:p>
        </w:tc>
      </w:tr>
      <w:tr w14:paraId="379A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8D5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90E0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9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0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2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7C8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33.69 </w:t>
            </w:r>
          </w:p>
        </w:tc>
      </w:tr>
      <w:tr w14:paraId="15660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E7F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C306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5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F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5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1EE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28.05 </w:t>
            </w:r>
          </w:p>
        </w:tc>
      </w:tr>
      <w:tr w14:paraId="4FA7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1DF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59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6EF6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C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D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B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9F3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20.63 </w:t>
            </w:r>
          </w:p>
        </w:tc>
      </w:tr>
      <w:tr w14:paraId="481A4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BF3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D033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5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6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E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99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17.46 </w:t>
            </w:r>
          </w:p>
        </w:tc>
      </w:tr>
      <w:tr w14:paraId="24924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A73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36E7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3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9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6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E43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15.40 </w:t>
            </w:r>
          </w:p>
        </w:tc>
      </w:tr>
      <w:tr w14:paraId="3E5FF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3AA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62 </w:t>
            </w:r>
          </w:p>
        </w:tc>
        <w:tc>
          <w:tcPr>
            <w:tcW w:w="4568" w:type="dxa"/>
            <w:vMerge w:val="restart"/>
            <w:tcBorders>
              <w:top w:val="single" w:color="000000" w:sz="4" w:space="0"/>
              <w:left w:val="single" w:color="000000" w:sz="4" w:space="0"/>
              <w:bottom w:val="nil"/>
              <w:right w:val="single" w:color="000000" w:sz="4" w:space="0"/>
            </w:tcBorders>
            <w:shd w:val="clear" w:color="auto" w:fill="auto"/>
            <w:vAlign w:val="center"/>
          </w:tcPr>
          <w:p w14:paraId="67EA96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沟槽衬塑内丝大小头</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3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9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4A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63C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4.10 </w:t>
            </w:r>
          </w:p>
        </w:tc>
      </w:tr>
      <w:tr w14:paraId="71DBA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D6E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63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3FBD526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D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D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B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9A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4.25 </w:t>
            </w:r>
          </w:p>
        </w:tc>
      </w:tr>
      <w:tr w14:paraId="559C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742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64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79B03DD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6F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A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DB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486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3.00 </w:t>
            </w:r>
          </w:p>
        </w:tc>
      </w:tr>
      <w:tr w14:paraId="039B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3F5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65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557E819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D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D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C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972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2.15 </w:t>
            </w:r>
          </w:p>
        </w:tc>
      </w:tr>
      <w:tr w14:paraId="68EE5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822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66 </w:t>
            </w:r>
          </w:p>
        </w:tc>
        <w:tc>
          <w:tcPr>
            <w:tcW w:w="4568" w:type="dxa"/>
            <w:vMerge w:val="restart"/>
            <w:tcBorders>
              <w:top w:val="single" w:color="000000" w:sz="4" w:space="0"/>
              <w:left w:val="single" w:color="000000" w:sz="4" w:space="0"/>
              <w:bottom w:val="nil"/>
              <w:right w:val="single" w:color="000000" w:sz="4" w:space="0"/>
            </w:tcBorders>
            <w:shd w:val="clear" w:color="auto" w:fill="auto"/>
            <w:vAlign w:val="center"/>
          </w:tcPr>
          <w:p w14:paraId="0624AA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沟槽衬塑内丝三通</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2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7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92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04D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11.50 </w:t>
            </w:r>
          </w:p>
        </w:tc>
      </w:tr>
      <w:tr w14:paraId="1701F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F95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67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3249770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C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FF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6E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B52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11.40 </w:t>
            </w:r>
          </w:p>
        </w:tc>
      </w:tr>
      <w:tr w14:paraId="6F330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8FF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68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270F3AAD">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8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7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0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94D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20.63 </w:t>
            </w:r>
          </w:p>
        </w:tc>
      </w:tr>
      <w:tr w14:paraId="0D2B5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0B9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69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6D1F13E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A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6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3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DAF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20.63 </w:t>
            </w:r>
          </w:p>
        </w:tc>
      </w:tr>
      <w:tr w14:paraId="2267A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E4B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70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3B1EB69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BB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0A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D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B24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7.25 </w:t>
            </w:r>
          </w:p>
        </w:tc>
      </w:tr>
      <w:tr w14:paraId="1004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D4A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71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663E8F2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91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B7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D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FE0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20.63 </w:t>
            </w:r>
          </w:p>
        </w:tc>
      </w:tr>
      <w:tr w14:paraId="2E8D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FB6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72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456D778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5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0C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494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7.10 </w:t>
            </w:r>
          </w:p>
        </w:tc>
      </w:tr>
      <w:tr w14:paraId="220E5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43B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73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57AD8E35">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F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8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0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F2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7.00 </w:t>
            </w:r>
          </w:p>
        </w:tc>
      </w:tr>
      <w:tr w14:paraId="75F4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ACC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74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1420CEF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8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F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3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D2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5.65 </w:t>
            </w:r>
          </w:p>
        </w:tc>
      </w:tr>
      <w:tr w14:paraId="114CB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DD3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75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7577DA1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02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B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CF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C64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5.75 </w:t>
            </w:r>
          </w:p>
        </w:tc>
      </w:tr>
      <w:tr w14:paraId="0D6B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581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76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15F8DFEC">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56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DN25*15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0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4B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AFB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3.70 </w:t>
            </w:r>
          </w:p>
        </w:tc>
      </w:tr>
      <w:tr w14:paraId="3E49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016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77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4493C53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A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A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5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AA0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4.62 </w:t>
            </w:r>
          </w:p>
        </w:tc>
      </w:tr>
      <w:tr w14:paraId="4754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37D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78 </w:t>
            </w:r>
          </w:p>
        </w:tc>
        <w:tc>
          <w:tcPr>
            <w:tcW w:w="4568" w:type="dxa"/>
            <w:vMerge w:val="restart"/>
            <w:tcBorders>
              <w:top w:val="single" w:color="000000" w:sz="4" w:space="0"/>
              <w:left w:val="single" w:color="000000" w:sz="4" w:space="0"/>
              <w:bottom w:val="nil"/>
              <w:right w:val="single" w:color="000000" w:sz="4" w:space="0"/>
            </w:tcBorders>
            <w:shd w:val="clear" w:color="auto" w:fill="auto"/>
            <w:vAlign w:val="center"/>
          </w:tcPr>
          <w:p w14:paraId="53A81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沟槽衬塑内丝弯头</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6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B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E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2DF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4.70 </w:t>
            </w:r>
          </w:p>
        </w:tc>
      </w:tr>
      <w:tr w14:paraId="1941E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BAA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79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74DB9E9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6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50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8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C1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5.78 </w:t>
            </w:r>
          </w:p>
        </w:tc>
      </w:tr>
      <w:tr w14:paraId="1325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4C6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80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17EFF77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F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B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B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373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4.30 </w:t>
            </w:r>
          </w:p>
        </w:tc>
      </w:tr>
      <w:tr w14:paraId="4D1A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613B">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81 </w:t>
            </w:r>
          </w:p>
        </w:tc>
        <w:tc>
          <w:tcPr>
            <w:tcW w:w="4568" w:type="dxa"/>
            <w:vMerge w:val="continue"/>
            <w:tcBorders>
              <w:top w:val="single" w:color="000000" w:sz="4" w:space="0"/>
              <w:left w:val="single" w:color="000000" w:sz="4" w:space="0"/>
              <w:bottom w:val="nil"/>
              <w:right w:val="single" w:color="000000" w:sz="4" w:space="0"/>
            </w:tcBorders>
            <w:shd w:val="clear" w:color="auto" w:fill="auto"/>
            <w:vAlign w:val="center"/>
          </w:tcPr>
          <w:p w14:paraId="72A31A37">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3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DN40*20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F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E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F04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5.20 </w:t>
            </w:r>
          </w:p>
        </w:tc>
      </w:tr>
      <w:tr w14:paraId="7328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847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82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FA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沟槽衬塑三通</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35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2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0F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DFC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23.10 </w:t>
            </w:r>
          </w:p>
        </w:tc>
      </w:tr>
      <w:tr w14:paraId="4840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7ED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8A887">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5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A2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82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9A3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23.10 </w:t>
            </w:r>
          </w:p>
        </w:tc>
      </w:tr>
      <w:tr w14:paraId="031DA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B04C">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21B9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5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0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0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962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30.66 </w:t>
            </w:r>
          </w:p>
        </w:tc>
      </w:tr>
      <w:tr w14:paraId="1F86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BA6B">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31565">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8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F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0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D5F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30.66 </w:t>
            </w:r>
          </w:p>
        </w:tc>
      </w:tr>
      <w:tr w14:paraId="65B6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28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2F33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0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4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E8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27F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46.20 </w:t>
            </w:r>
          </w:p>
        </w:tc>
      </w:tr>
      <w:tr w14:paraId="3540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ADC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B4D4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8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3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8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6CC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46.20 </w:t>
            </w:r>
          </w:p>
        </w:tc>
      </w:tr>
      <w:tr w14:paraId="727B2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F88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C384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5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54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2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75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46.20 </w:t>
            </w:r>
          </w:p>
        </w:tc>
      </w:tr>
      <w:tr w14:paraId="1F720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053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89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3911D">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8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C8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3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055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0D46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639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662E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E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7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F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734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17B4E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583B">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2BBED">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3F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4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6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4B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714B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F12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FF39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C9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38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E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193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26146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ABFA">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5D83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9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8B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9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9F0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63FC6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314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03E2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6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D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E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F2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27.31 </w:t>
            </w:r>
          </w:p>
        </w:tc>
      </w:tr>
      <w:tr w14:paraId="1CA7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F53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05B9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A8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3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2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57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27.31 </w:t>
            </w:r>
          </w:p>
        </w:tc>
      </w:tr>
      <w:tr w14:paraId="68F8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E61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47D1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9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A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B3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A6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27.31 </w:t>
            </w:r>
          </w:p>
        </w:tc>
      </w:tr>
      <w:tr w14:paraId="6C7A2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087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F9DF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9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7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7E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EB9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27.31 </w:t>
            </w:r>
          </w:p>
        </w:tc>
      </w:tr>
      <w:tr w14:paraId="3979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EA8A">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198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C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D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8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DAD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26.99 </w:t>
            </w:r>
          </w:p>
        </w:tc>
      </w:tr>
      <w:tr w14:paraId="7A76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119B">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99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A78C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2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4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C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950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17.88 </w:t>
            </w:r>
          </w:p>
        </w:tc>
      </w:tr>
      <w:tr w14:paraId="221CA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84B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E3AFC">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1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93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D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4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20.63 </w:t>
            </w:r>
          </w:p>
        </w:tc>
      </w:tr>
      <w:tr w14:paraId="5919B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C84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162B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8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B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93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FDE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24.06 </w:t>
            </w:r>
          </w:p>
        </w:tc>
      </w:tr>
      <w:tr w14:paraId="13F8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DE2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B7F92">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C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0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66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775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30.66 </w:t>
            </w:r>
          </w:p>
        </w:tc>
      </w:tr>
      <w:tr w14:paraId="7D50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E365">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3F209">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E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F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DD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808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46.20 </w:t>
            </w:r>
          </w:p>
        </w:tc>
      </w:tr>
      <w:tr w14:paraId="395C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B7D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8B2D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5C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92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C1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BA1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012C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3A0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74BB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9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1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3A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0D0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144.81 </w:t>
            </w:r>
          </w:p>
        </w:tc>
      </w:tr>
      <w:tr w14:paraId="6116D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EFD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106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5A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沟槽衬塑卡箍</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0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A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B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0DD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8.25 </w:t>
            </w:r>
          </w:p>
        </w:tc>
      </w:tr>
      <w:tr w14:paraId="777EB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3AD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155B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7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7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F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6A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8.53 </w:t>
            </w:r>
          </w:p>
        </w:tc>
      </w:tr>
      <w:tr w14:paraId="24E34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5A1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8B97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F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7B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34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C45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9.63 </w:t>
            </w:r>
          </w:p>
        </w:tc>
      </w:tr>
      <w:tr w14:paraId="27373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2D4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109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CDE08">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F5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F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1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30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10.04 </w:t>
            </w:r>
          </w:p>
        </w:tc>
      </w:tr>
      <w:tr w14:paraId="3AC18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E4FC">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707C2">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3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5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B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88A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17.60 </w:t>
            </w:r>
          </w:p>
        </w:tc>
      </w:tr>
      <w:tr w14:paraId="77D38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F7B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EC09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8C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47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5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F8F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18.29 </w:t>
            </w:r>
          </w:p>
        </w:tc>
      </w:tr>
      <w:tr w14:paraId="5A62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12B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E334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D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1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6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C76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36.44 </w:t>
            </w:r>
          </w:p>
        </w:tc>
      </w:tr>
      <w:tr w14:paraId="5FAB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7B1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113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58D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沟槽衬塑盲板</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6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6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9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C03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19.25 </w:t>
            </w:r>
          </w:p>
        </w:tc>
      </w:tr>
      <w:tr w14:paraId="492D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A30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EBAB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F3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8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4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6F7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13.75 </w:t>
            </w:r>
          </w:p>
        </w:tc>
      </w:tr>
      <w:tr w14:paraId="20D8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7C5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0981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A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0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33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1F9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9.57 </w:t>
            </w:r>
          </w:p>
        </w:tc>
      </w:tr>
      <w:tr w14:paraId="5CA17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756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116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CA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沟槽三通</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FF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6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5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E10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114.81 </w:t>
            </w:r>
          </w:p>
        </w:tc>
      </w:tr>
      <w:tr w14:paraId="246CB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0BA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0CA2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3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F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22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70C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575B8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126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A2E6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7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6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65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F4E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30.66 </w:t>
            </w:r>
          </w:p>
        </w:tc>
      </w:tr>
      <w:tr w14:paraId="0B7BF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69D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119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B4BD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6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4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B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4F9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20.63 </w:t>
            </w:r>
          </w:p>
        </w:tc>
      </w:tr>
      <w:tr w14:paraId="304B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9A9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81D9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8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6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07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C7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17.68 </w:t>
            </w:r>
          </w:p>
        </w:tc>
      </w:tr>
      <w:tr w14:paraId="4FEF2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89D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4B1C6">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0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9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6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396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114.81 </w:t>
            </w:r>
          </w:p>
        </w:tc>
      </w:tr>
      <w:tr w14:paraId="5F6E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8FD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5E124">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8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B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D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3B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114.81 </w:t>
            </w:r>
          </w:p>
        </w:tc>
      </w:tr>
      <w:tr w14:paraId="7BF3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A467">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7AE2A">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E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0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6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304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5382B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263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FB263">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6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6F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03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2C2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53.63 </w:t>
            </w:r>
          </w:p>
        </w:tc>
      </w:tr>
      <w:tr w14:paraId="7CAE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5E9D">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125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EA345">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D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D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7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2A6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30.66 </w:t>
            </w:r>
          </w:p>
        </w:tc>
      </w:tr>
      <w:tr w14:paraId="1BE4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7706">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126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7C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沟槽闸阀</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A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E4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02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9F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465.80 </w:t>
            </w:r>
          </w:p>
        </w:tc>
      </w:tr>
      <w:tr w14:paraId="3C52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054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DF77B">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A0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8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E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50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321.10 </w:t>
            </w:r>
          </w:p>
        </w:tc>
      </w:tr>
      <w:tr w14:paraId="3EFA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0F9F">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645D1">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9A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28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5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E5C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264.60 </w:t>
            </w:r>
          </w:p>
        </w:tc>
      </w:tr>
      <w:tr w14:paraId="1893F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A8A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129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B50E5">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4A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9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5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C70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226.17 </w:t>
            </w:r>
          </w:p>
        </w:tc>
      </w:tr>
      <w:tr w14:paraId="63CE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974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2F21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C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3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4A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3D2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201.63 </w:t>
            </w:r>
          </w:p>
        </w:tc>
      </w:tr>
      <w:tr w14:paraId="24623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36D0">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F9E8E">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6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6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56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A98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153.56 </w:t>
            </w:r>
          </w:p>
        </w:tc>
      </w:tr>
      <w:tr w14:paraId="44AC8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E5C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132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99835">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8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39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07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CB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66.51 </w:t>
            </w:r>
          </w:p>
        </w:tc>
      </w:tr>
      <w:tr w14:paraId="5CB40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8ED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133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C15C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33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11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9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61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30.00 </w:t>
            </w:r>
          </w:p>
        </w:tc>
      </w:tr>
      <w:tr w14:paraId="1CD44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426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134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C69A0">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5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0E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8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A33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41.90 </w:t>
            </w:r>
          </w:p>
        </w:tc>
      </w:tr>
      <w:tr w14:paraId="77BC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5EF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135 </w:t>
            </w:r>
          </w:p>
        </w:tc>
        <w:tc>
          <w:tcPr>
            <w:tcW w:w="4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8F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卡箍</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D6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77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9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F07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36.44 </w:t>
            </w:r>
          </w:p>
        </w:tc>
      </w:tr>
      <w:tr w14:paraId="7D2E7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335E">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136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4D48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D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E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0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988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18.29 </w:t>
            </w:r>
          </w:p>
        </w:tc>
      </w:tr>
      <w:tr w14:paraId="3473B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77A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137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F4AA7">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8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6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CB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752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17.60 </w:t>
            </w:r>
          </w:p>
        </w:tc>
      </w:tr>
      <w:tr w14:paraId="019F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2D4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138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A329F">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6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66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68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553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10.04 </w:t>
            </w:r>
          </w:p>
        </w:tc>
      </w:tr>
      <w:tr w14:paraId="3D133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94A9">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139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33EC5">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5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7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62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BBD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9.63 </w:t>
            </w:r>
          </w:p>
        </w:tc>
      </w:tr>
      <w:tr w14:paraId="7B3C1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EF94">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140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F3A6C">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F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C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2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096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8.53 </w:t>
            </w:r>
          </w:p>
        </w:tc>
      </w:tr>
      <w:tr w14:paraId="6D1BA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3FD3">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141 </w:t>
            </w:r>
          </w:p>
        </w:tc>
        <w:tc>
          <w:tcPr>
            <w:tcW w:w="4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2A4DD">
            <w:pPr>
              <w:jc w:val="center"/>
              <w:rPr>
                <w:rFonts w:hint="eastAsia" w:ascii="宋体" w:hAnsi="宋体" w:eastAsia="宋体" w:cs="宋体"/>
                <w:i w:val="0"/>
                <w:iCs w:val="0"/>
                <w:color w:val="000000"/>
                <w:sz w:val="24"/>
                <w:szCs w:val="24"/>
                <w:u w:val="none"/>
              </w:rPr>
            </w:pP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A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F0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C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FBB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8.25 </w:t>
            </w:r>
          </w:p>
        </w:tc>
      </w:tr>
      <w:tr w14:paraId="4941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DC68">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snapToGrid w:val="0"/>
                <w:color w:val="000000"/>
                <w:kern w:val="0"/>
                <w:sz w:val="22"/>
                <w:szCs w:val="22"/>
                <w:u w:val="none"/>
                <w:lang w:val="en-US" w:eastAsia="zh-CN" w:bidi="ar"/>
              </w:rPr>
              <w:t xml:space="preserve">142 </w:t>
            </w:r>
          </w:p>
        </w:tc>
        <w:tc>
          <w:tcPr>
            <w:tcW w:w="4568" w:type="dxa"/>
            <w:tcBorders>
              <w:top w:val="single" w:color="000000" w:sz="4" w:space="0"/>
              <w:left w:val="single" w:color="000000" w:sz="4" w:space="0"/>
              <w:bottom w:val="nil"/>
              <w:right w:val="single" w:color="000000" w:sz="4" w:space="0"/>
            </w:tcBorders>
            <w:shd w:val="clear" w:color="auto" w:fill="auto"/>
            <w:vAlign w:val="center"/>
          </w:tcPr>
          <w:p w14:paraId="0045A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排气阀</w:t>
            </w:r>
          </w:p>
        </w:tc>
        <w:tc>
          <w:tcPr>
            <w:tcW w:w="2155" w:type="dxa"/>
            <w:tcBorders>
              <w:top w:val="single" w:color="000000" w:sz="4" w:space="0"/>
              <w:left w:val="single" w:color="000000" w:sz="4" w:space="0"/>
              <w:bottom w:val="nil"/>
              <w:right w:val="single" w:color="000000" w:sz="4" w:space="0"/>
            </w:tcBorders>
            <w:shd w:val="clear" w:color="auto" w:fill="auto"/>
            <w:vAlign w:val="center"/>
          </w:tcPr>
          <w:p w14:paraId="03EB6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DN25</w:t>
            </w:r>
          </w:p>
        </w:tc>
        <w:tc>
          <w:tcPr>
            <w:tcW w:w="600" w:type="dxa"/>
            <w:tcBorders>
              <w:top w:val="single" w:color="000000" w:sz="4" w:space="0"/>
              <w:left w:val="single" w:color="000000" w:sz="4" w:space="0"/>
              <w:bottom w:val="nil"/>
              <w:right w:val="single" w:color="000000" w:sz="4" w:space="0"/>
            </w:tcBorders>
            <w:shd w:val="clear" w:color="auto" w:fill="auto"/>
            <w:vAlign w:val="center"/>
          </w:tcPr>
          <w:p w14:paraId="5C53B8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个</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5838E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200" w:type="dxa"/>
            <w:tcBorders>
              <w:top w:val="single" w:color="000000" w:sz="4" w:space="0"/>
              <w:left w:val="single" w:color="000000" w:sz="4" w:space="0"/>
              <w:bottom w:val="nil"/>
              <w:right w:val="single" w:color="000000" w:sz="4" w:space="0"/>
            </w:tcBorders>
            <w:shd w:val="clear" w:color="auto" w:fill="auto"/>
            <w:vAlign w:val="center"/>
          </w:tcPr>
          <w:p w14:paraId="3675E03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default" w:ascii="Arial" w:hAnsi="Arial" w:eastAsia="宋体" w:cs="Arial"/>
                <w:i w:val="0"/>
                <w:iCs w:val="0"/>
                <w:snapToGrid w:val="0"/>
                <w:color w:val="000000"/>
                <w:kern w:val="0"/>
                <w:sz w:val="22"/>
                <w:szCs w:val="22"/>
                <w:u w:val="none"/>
                <w:lang w:val="en-US" w:eastAsia="zh-CN" w:bidi="ar"/>
              </w:rPr>
              <w:t xml:space="preserve">23.36 </w:t>
            </w:r>
          </w:p>
        </w:tc>
      </w:tr>
    </w:tbl>
    <w:p w14:paraId="37335B9E">
      <w:pPr>
        <w:keepNext w:val="0"/>
        <w:keepLines w:val="0"/>
        <w:pageBreakBefore w:val="0"/>
        <w:overflowPunct/>
        <w:topLinePunct w:val="0"/>
        <w:bidi w:val="0"/>
        <w:spacing w:line="360" w:lineRule="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※衬塑钢管为核心产品。</w:t>
      </w:r>
    </w:p>
    <w:p w14:paraId="08756012">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2"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b/>
          <w:bCs/>
          <w:color w:val="auto"/>
          <w:spacing w:val="0"/>
          <w:kern w:val="0"/>
          <w:position w:val="0"/>
          <w:sz w:val="24"/>
          <w:szCs w:val="24"/>
          <w:highlight w:val="none"/>
          <w:lang w:val="en-US" w:eastAsia="zh-CN"/>
        </w:rPr>
        <w:t>注：</w:t>
      </w:r>
      <w:r>
        <w:rPr>
          <w:rFonts w:hint="eastAsia" w:ascii="宋体" w:hAnsi="宋体" w:eastAsia="宋体" w:cs="宋体"/>
          <w:color w:val="auto"/>
          <w:spacing w:val="0"/>
          <w:kern w:val="0"/>
          <w:position w:val="0"/>
          <w:sz w:val="24"/>
          <w:szCs w:val="24"/>
          <w:highlight w:val="none"/>
          <w:lang w:val="en-US" w:eastAsia="zh-CN"/>
        </w:rPr>
        <w:t>1、本项目投标报价采用综合折扣报价，最终结算以预算单价*中标折扣*实际发生量。</w:t>
      </w:r>
    </w:p>
    <w:p w14:paraId="4E426A4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0"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2、投标人应以包括涉及项目的所有费用进行报价，应包括（但不限于）货品、包装、装卸、运输、保险、管理服务及税金等一切直接和间接费用以及利润的总和。</w:t>
      </w:r>
    </w:p>
    <w:p w14:paraId="5FE95696">
      <w:pPr>
        <w:keepNext w:val="0"/>
        <w:keepLines w:val="0"/>
        <w:pageBreakBefore w:val="0"/>
        <w:widowControl w:val="0"/>
        <w:shd w:val="clear"/>
        <w:wordWrap/>
        <w:overflowPunct/>
        <w:topLinePunct w:val="0"/>
        <w:bidi w:val="0"/>
        <w:spacing w:line="360" w:lineRule="auto"/>
        <w:ind w:left="0" w:leftChars="0" w:right="0" w:rightChars="0" w:firstLine="420" w:firstLineChars="175"/>
        <w:jc w:val="both"/>
        <w:rPr>
          <w:rFonts w:hint="eastAsia" w:ascii="宋体" w:hAnsi="宋体" w:eastAsia="宋体" w:cs="宋体"/>
          <w:b w:val="0"/>
          <w:bCs w:val="0"/>
          <w:color w:val="auto"/>
          <w:kern w:val="0"/>
          <w:sz w:val="24"/>
          <w:szCs w:val="24"/>
          <w:highlight w:val="none"/>
          <w:vertAlign w:val="baseline"/>
          <w:lang w:val="en-US" w:eastAsia="zh-CN" w:bidi="ar"/>
        </w:rPr>
      </w:pPr>
      <w:r>
        <w:rPr>
          <w:rFonts w:hint="eastAsia" w:ascii="宋体" w:hAnsi="宋体" w:eastAsia="宋体" w:cs="宋体"/>
          <w:b w:val="0"/>
          <w:bCs w:val="0"/>
          <w:color w:val="auto"/>
          <w:kern w:val="0"/>
          <w:sz w:val="24"/>
          <w:szCs w:val="24"/>
          <w:highlight w:val="none"/>
          <w:lang w:val="en-US" w:eastAsia="zh-CN"/>
        </w:rPr>
        <w:t>3、完成本项目采购金额</w:t>
      </w:r>
      <w:r>
        <w:rPr>
          <w:rFonts w:hint="eastAsia" w:ascii="宋体" w:hAnsi="宋体" w:eastAsia="宋体" w:cs="宋体"/>
          <w:b w:val="0"/>
          <w:bCs w:val="0"/>
          <w:color w:val="auto"/>
          <w:sz w:val="24"/>
          <w:szCs w:val="24"/>
          <w:highlight w:val="none"/>
          <w:lang w:val="en-US" w:eastAsia="zh-CN"/>
        </w:rPr>
        <w:t>120万元</w:t>
      </w:r>
      <w:r>
        <w:rPr>
          <w:rFonts w:hint="eastAsia" w:ascii="宋体" w:hAnsi="宋体" w:eastAsia="宋体" w:cs="宋体"/>
          <w:b w:val="0"/>
          <w:bCs w:val="0"/>
          <w:color w:val="auto"/>
          <w:sz w:val="24"/>
          <w:szCs w:val="24"/>
          <w:highlight w:val="none"/>
          <w:lang w:eastAsia="zh-CN"/>
        </w:rPr>
        <w:t>或1年采购服务期满，</w:t>
      </w:r>
      <w:r>
        <w:rPr>
          <w:rFonts w:hint="eastAsia" w:ascii="宋体" w:hAnsi="宋体" w:eastAsia="宋体" w:cs="宋体"/>
          <w:b w:val="0"/>
          <w:bCs w:val="0"/>
          <w:color w:val="auto"/>
          <w:sz w:val="24"/>
          <w:szCs w:val="24"/>
          <w:highlight w:val="none"/>
          <w:lang w:val="en-US" w:eastAsia="zh-CN"/>
        </w:rPr>
        <w:t>以先到达为准，则</w:t>
      </w:r>
      <w:r>
        <w:rPr>
          <w:rFonts w:hint="eastAsia" w:ascii="宋体" w:hAnsi="宋体" w:eastAsia="宋体" w:cs="宋体"/>
          <w:b w:val="0"/>
          <w:bCs w:val="0"/>
          <w:color w:val="auto"/>
          <w:sz w:val="24"/>
          <w:szCs w:val="24"/>
          <w:highlight w:val="none"/>
          <w:lang w:eastAsia="zh-CN"/>
        </w:rPr>
        <w:t>采购合同终</w:t>
      </w:r>
      <w:r>
        <w:rPr>
          <w:rFonts w:hint="eastAsia" w:ascii="宋体" w:hAnsi="宋体" w:eastAsia="宋体" w:cs="宋体"/>
          <w:b w:val="0"/>
          <w:bCs w:val="0"/>
          <w:color w:val="auto"/>
          <w:sz w:val="24"/>
          <w:szCs w:val="24"/>
          <w:highlight w:val="none"/>
          <w:lang w:val="en-US" w:eastAsia="zh-CN"/>
        </w:rPr>
        <w:t>止。</w:t>
      </w:r>
    </w:p>
    <w:p w14:paraId="758E5C49">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0"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4、本项目无法确定具体数量，根据采购人实际需求供货，结算以实际发生额为准。</w:t>
      </w:r>
    </w:p>
    <w:p w14:paraId="5D65627F">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宋体" w:hAnsi="宋体" w:eastAsia="宋体" w:cs="宋体"/>
          <w:color w:val="auto"/>
          <w:kern w:val="2"/>
          <w:sz w:val="24"/>
          <w:szCs w:val="24"/>
          <w:highlight w:val="none"/>
          <w:lang w:val="en-US" w:eastAsia="zh-CN"/>
        </w:rPr>
      </w:pPr>
    </w:p>
    <w:p w14:paraId="5C7687D0">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1、产品满足《流体输送用钢塑复合管及管件》（GB/T 28897-2021）标准；</w:t>
      </w:r>
    </w:p>
    <w:p w14:paraId="0D85126E">
      <w:pPr>
        <w:keepNext w:val="0"/>
        <w:keepLines w:val="0"/>
        <w:pageBreakBefore w:val="0"/>
        <w:wordWrap/>
        <w:overflowPunct/>
        <w:topLinePunct w:val="0"/>
        <w:bidi w:val="0"/>
        <w:spacing w:line="360" w:lineRule="auto"/>
        <w:ind w:left="0" w:leftChars="0" w:right="0" w:rightChars="0"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rPr>
        <w:t>2、衬塑钢管的基管质量应符合《低压流体输送用焊接钢管》（GB/T 3091-2025）标准，</w:t>
      </w:r>
      <w:r>
        <w:rPr>
          <w:rFonts w:hint="eastAsia" w:ascii="宋体" w:hAnsi="宋体" w:eastAsia="宋体" w:cs="宋体"/>
          <w:color w:val="auto"/>
          <w:sz w:val="24"/>
          <w:szCs w:val="24"/>
          <w:highlight w:val="none"/>
          <w:lang w:val="en-US" w:eastAsia="zh-CN" w:bidi="ar-SA"/>
        </w:rPr>
        <w:t>其材质牌号为Q235B。基管的外径、厚度和理论重量按下表规定执行：</w:t>
      </w:r>
    </w:p>
    <w:tbl>
      <w:tblPr>
        <w:tblStyle w:val="18"/>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5" w:type="dxa"/>
          <w:bottom w:w="0" w:type="dxa"/>
          <w:right w:w="15" w:type="dxa"/>
        </w:tblCellMar>
      </w:tblPr>
      <w:tblGrid>
        <w:gridCol w:w="960"/>
        <w:gridCol w:w="668"/>
        <w:gridCol w:w="623"/>
        <w:gridCol w:w="927"/>
        <w:gridCol w:w="929"/>
        <w:gridCol w:w="706"/>
        <w:gridCol w:w="706"/>
        <w:gridCol w:w="886"/>
        <w:gridCol w:w="944"/>
        <w:gridCol w:w="654"/>
        <w:gridCol w:w="699"/>
        <w:gridCol w:w="960"/>
      </w:tblGrid>
      <w:tr w14:paraId="7D78C5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496" w:type="pct"/>
            <w:noWrap w:val="0"/>
            <w:vAlign w:val="center"/>
          </w:tcPr>
          <w:p w14:paraId="5B28FAB5">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公称口径</w:t>
            </w:r>
          </w:p>
        </w:tc>
        <w:tc>
          <w:tcPr>
            <w:tcW w:w="345" w:type="pct"/>
            <w:noWrap w:val="0"/>
            <w:vAlign w:val="center"/>
          </w:tcPr>
          <w:p w14:paraId="0A8D7309">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外径</w:t>
            </w:r>
          </w:p>
        </w:tc>
        <w:tc>
          <w:tcPr>
            <w:tcW w:w="322" w:type="pct"/>
            <w:noWrap w:val="0"/>
            <w:vAlign w:val="center"/>
          </w:tcPr>
          <w:p w14:paraId="5FFDF0A4">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壁厚</w:t>
            </w:r>
          </w:p>
        </w:tc>
        <w:tc>
          <w:tcPr>
            <w:tcW w:w="479" w:type="pct"/>
            <w:noWrap w:val="0"/>
            <w:vAlign w:val="center"/>
          </w:tcPr>
          <w:p w14:paraId="010D3272">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理论重量</w:t>
            </w:r>
          </w:p>
        </w:tc>
        <w:tc>
          <w:tcPr>
            <w:tcW w:w="480" w:type="pct"/>
            <w:noWrap w:val="0"/>
            <w:vAlign w:val="center"/>
          </w:tcPr>
          <w:p w14:paraId="49509A1B">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公称口径</w:t>
            </w:r>
          </w:p>
        </w:tc>
        <w:tc>
          <w:tcPr>
            <w:tcW w:w="365" w:type="pct"/>
            <w:noWrap w:val="0"/>
            <w:vAlign w:val="center"/>
          </w:tcPr>
          <w:p w14:paraId="7EF263B5">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外径</w:t>
            </w:r>
          </w:p>
        </w:tc>
        <w:tc>
          <w:tcPr>
            <w:tcW w:w="365" w:type="pct"/>
            <w:noWrap w:val="0"/>
            <w:vAlign w:val="center"/>
          </w:tcPr>
          <w:p w14:paraId="4372D2D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壁厚</w:t>
            </w:r>
          </w:p>
        </w:tc>
        <w:tc>
          <w:tcPr>
            <w:tcW w:w="458" w:type="pct"/>
            <w:noWrap w:val="0"/>
            <w:vAlign w:val="center"/>
          </w:tcPr>
          <w:p w14:paraId="6C12D16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理论重量</w:t>
            </w:r>
          </w:p>
        </w:tc>
        <w:tc>
          <w:tcPr>
            <w:tcW w:w="488" w:type="pct"/>
            <w:noWrap w:val="0"/>
            <w:vAlign w:val="center"/>
          </w:tcPr>
          <w:p w14:paraId="2E40E57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公称口径</w:t>
            </w:r>
          </w:p>
        </w:tc>
        <w:tc>
          <w:tcPr>
            <w:tcW w:w="338" w:type="pct"/>
            <w:noWrap w:val="0"/>
            <w:vAlign w:val="center"/>
          </w:tcPr>
          <w:p w14:paraId="2443EF60">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外径</w:t>
            </w:r>
          </w:p>
        </w:tc>
        <w:tc>
          <w:tcPr>
            <w:tcW w:w="361" w:type="pct"/>
            <w:noWrap w:val="0"/>
            <w:vAlign w:val="center"/>
          </w:tcPr>
          <w:p w14:paraId="70D03B20">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壁厚</w:t>
            </w:r>
          </w:p>
        </w:tc>
        <w:tc>
          <w:tcPr>
            <w:tcW w:w="496" w:type="pct"/>
            <w:noWrap w:val="0"/>
            <w:vAlign w:val="center"/>
          </w:tcPr>
          <w:p w14:paraId="202E756B">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理论重量</w:t>
            </w:r>
          </w:p>
        </w:tc>
      </w:tr>
      <w:tr w14:paraId="468CF8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496" w:type="pct"/>
            <w:noWrap w:val="0"/>
            <w:vAlign w:val="center"/>
          </w:tcPr>
          <w:p w14:paraId="60299142">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345" w:type="pct"/>
            <w:noWrap w:val="0"/>
            <w:vAlign w:val="center"/>
          </w:tcPr>
          <w:p w14:paraId="639E76FE">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322" w:type="pct"/>
            <w:noWrap w:val="0"/>
            <w:vAlign w:val="center"/>
          </w:tcPr>
          <w:p w14:paraId="2D9370AE">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479" w:type="pct"/>
            <w:noWrap w:val="0"/>
            <w:vAlign w:val="center"/>
          </w:tcPr>
          <w:p w14:paraId="2207E532">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(kg/m)</w:t>
            </w:r>
          </w:p>
        </w:tc>
        <w:tc>
          <w:tcPr>
            <w:tcW w:w="480" w:type="pct"/>
            <w:noWrap w:val="0"/>
            <w:vAlign w:val="center"/>
          </w:tcPr>
          <w:p w14:paraId="4B70658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365" w:type="pct"/>
            <w:noWrap w:val="0"/>
            <w:vAlign w:val="center"/>
          </w:tcPr>
          <w:p w14:paraId="24516599">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365" w:type="pct"/>
            <w:noWrap w:val="0"/>
            <w:vAlign w:val="center"/>
          </w:tcPr>
          <w:p w14:paraId="45093355">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458" w:type="pct"/>
            <w:noWrap w:val="0"/>
            <w:vAlign w:val="center"/>
          </w:tcPr>
          <w:p w14:paraId="7D34E4D0">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(kg/m)</w:t>
            </w:r>
          </w:p>
        </w:tc>
        <w:tc>
          <w:tcPr>
            <w:tcW w:w="488" w:type="pct"/>
            <w:noWrap w:val="0"/>
            <w:vAlign w:val="center"/>
          </w:tcPr>
          <w:p w14:paraId="79DDBA6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338" w:type="pct"/>
            <w:noWrap w:val="0"/>
            <w:vAlign w:val="center"/>
          </w:tcPr>
          <w:p w14:paraId="71423D35">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361" w:type="pct"/>
            <w:noWrap w:val="0"/>
            <w:vAlign w:val="center"/>
          </w:tcPr>
          <w:p w14:paraId="0EF69AA8">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(mm)</w:t>
            </w:r>
          </w:p>
        </w:tc>
        <w:tc>
          <w:tcPr>
            <w:tcW w:w="496" w:type="pct"/>
            <w:noWrap w:val="0"/>
            <w:vAlign w:val="center"/>
          </w:tcPr>
          <w:p w14:paraId="4576AC32">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(kg/m)</w:t>
            </w:r>
          </w:p>
        </w:tc>
      </w:tr>
      <w:tr w14:paraId="5D3B39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496" w:type="pct"/>
            <w:noWrap w:val="0"/>
            <w:vAlign w:val="center"/>
          </w:tcPr>
          <w:p w14:paraId="48EF6C58">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w:t>
            </w:r>
          </w:p>
        </w:tc>
        <w:tc>
          <w:tcPr>
            <w:tcW w:w="345" w:type="pct"/>
            <w:noWrap w:val="0"/>
            <w:vAlign w:val="center"/>
          </w:tcPr>
          <w:p w14:paraId="415EE5D9">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21.3</w:t>
            </w:r>
          </w:p>
        </w:tc>
        <w:tc>
          <w:tcPr>
            <w:tcW w:w="322" w:type="pct"/>
            <w:noWrap w:val="0"/>
            <w:vAlign w:val="center"/>
          </w:tcPr>
          <w:p w14:paraId="3A6BD456">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w:t>
            </w:r>
          </w:p>
        </w:tc>
        <w:tc>
          <w:tcPr>
            <w:tcW w:w="479" w:type="pct"/>
            <w:noWrap w:val="0"/>
            <w:vAlign w:val="center"/>
          </w:tcPr>
          <w:p w14:paraId="1D2BD4E2">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1.34</w:t>
            </w:r>
          </w:p>
        </w:tc>
        <w:tc>
          <w:tcPr>
            <w:tcW w:w="480" w:type="pct"/>
            <w:noWrap w:val="0"/>
            <w:vAlign w:val="center"/>
          </w:tcPr>
          <w:p w14:paraId="65874EED">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w:t>
            </w:r>
          </w:p>
        </w:tc>
        <w:tc>
          <w:tcPr>
            <w:tcW w:w="365" w:type="pct"/>
            <w:noWrap w:val="0"/>
            <w:vAlign w:val="center"/>
          </w:tcPr>
          <w:p w14:paraId="4A455F1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48.3</w:t>
            </w:r>
          </w:p>
        </w:tc>
        <w:tc>
          <w:tcPr>
            <w:tcW w:w="365" w:type="pct"/>
            <w:noWrap w:val="0"/>
            <w:vAlign w:val="center"/>
          </w:tcPr>
          <w:p w14:paraId="1EADFD5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3.5</w:t>
            </w:r>
          </w:p>
        </w:tc>
        <w:tc>
          <w:tcPr>
            <w:tcW w:w="458" w:type="pct"/>
            <w:noWrap w:val="0"/>
            <w:vAlign w:val="center"/>
          </w:tcPr>
          <w:p w14:paraId="35B929D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4.01</w:t>
            </w:r>
          </w:p>
        </w:tc>
        <w:tc>
          <w:tcPr>
            <w:tcW w:w="488" w:type="pct"/>
            <w:noWrap w:val="0"/>
            <w:vAlign w:val="center"/>
          </w:tcPr>
          <w:p w14:paraId="7878F3FD">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100</w:t>
            </w:r>
          </w:p>
        </w:tc>
        <w:tc>
          <w:tcPr>
            <w:tcW w:w="338" w:type="pct"/>
            <w:noWrap w:val="0"/>
            <w:vAlign w:val="center"/>
          </w:tcPr>
          <w:p w14:paraId="38710009">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114.3</w:t>
            </w:r>
          </w:p>
        </w:tc>
        <w:tc>
          <w:tcPr>
            <w:tcW w:w="361" w:type="pct"/>
            <w:noWrap w:val="0"/>
            <w:vAlign w:val="center"/>
          </w:tcPr>
          <w:p w14:paraId="6C18BE72">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w:t>
            </w:r>
          </w:p>
        </w:tc>
        <w:tc>
          <w:tcPr>
            <w:tcW w:w="496" w:type="pct"/>
            <w:noWrap w:val="0"/>
            <w:vAlign w:val="center"/>
          </w:tcPr>
          <w:p w14:paraId="2BE59668">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11.23</w:t>
            </w:r>
          </w:p>
        </w:tc>
      </w:tr>
      <w:tr w14:paraId="583F15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496" w:type="pct"/>
            <w:noWrap w:val="0"/>
            <w:vAlign w:val="center"/>
          </w:tcPr>
          <w:p w14:paraId="57928B8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w:t>
            </w:r>
          </w:p>
        </w:tc>
        <w:tc>
          <w:tcPr>
            <w:tcW w:w="345" w:type="pct"/>
            <w:noWrap w:val="0"/>
            <w:vAlign w:val="center"/>
          </w:tcPr>
          <w:p w14:paraId="01B23D31">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26.9</w:t>
            </w:r>
          </w:p>
        </w:tc>
        <w:tc>
          <w:tcPr>
            <w:tcW w:w="322" w:type="pct"/>
            <w:noWrap w:val="0"/>
            <w:vAlign w:val="center"/>
          </w:tcPr>
          <w:p w14:paraId="4D8C661D">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w:t>
            </w:r>
          </w:p>
        </w:tc>
        <w:tc>
          <w:tcPr>
            <w:tcW w:w="479" w:type="pct"/>
            <w:noWrap w:val="0"/>
            <w:vAlign w:val="center"/>
          </w:tcPr>
          <w:p w14:paraId="335538D7">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1.74</w:t>
            </w:r>
          </w:p>
        </w:tc>
        <w:tc>
          <w:tcPr>
            <w:tcW w:w="480" w:type="pct"/>
            <w:noWrap w:val="0"/>
            <w:vAlign w:val="center"/>
          </w:tcPr>
          <w:p w14:paraId="4D4DE118">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50</w:t>
            </w:r>
          </w:p>
        </w:tc>
        <w:tc>
          <w:tcPr>
            <w:tcW w:w="365" w:type="pct"/>
            <w:noWrap w:val="0"/>
            <w:vAlign w:val="center"/>
          </w:tcPr>
          <w:p w14:paraId="0D0B628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60.3</w:t>
            </w:r>
          </w:p>
        </w:tc>
        <w:tc>
          <w:tcPr>
            <w:tcW w:w="365" w:type="pct"/>
            <w:noWrap w:val="0"/>
            <w:vAlign w:val="center"/>
          </w:tcPr>
          <w:p w14:paraId="7F7FCC0D">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3.8</w:t>
            </w:r>
          </w:p>
        </w:tc>
        <w:tc>
          <w:tcPr>
            <w:tcW w:w="458" w:type="pct"/>
            <w:noWrap w:val="0"/>
            <w:vAlign w:val="center"/>
          </w:tcPr>
          <w:p w14:paraId="1D2D9B8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5.47</w:t>
            </w:r>
          </w:p>
        </w:tc>
        <w:tc>
          <w:tcPr>
            <w:tcW w:w="488" w:type="pct"/>
            <w:noWrap w:val="0"/>
            <w:vAlign w:val="center"/>
          </w:tcPr>
          <w:p w14:paraId="144552F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125</w:t>
            </w:r>
          </w:p>
        </w:tc>
        <w:tc>
          <w:tcPr>
            <w:tcW w:w="338" w:type="pct"/>
            <w:noWrap w:val="0"/>
            <w:vAlign w:val="center"/>
          </w:tcPr>
          <w:p w14:paraId="562984F7">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139.7</w:t>
            </w:r>
          </w:p>
        </w:tc>
        <w:tc>
          <w:tcPr>
            <w:tcW w:w="361" w:type="pct"/>
            <w:noWrap w:val="0"/>
            <w:vAlign w:val="center"/>
          </w:tcPr>
          <w:p w14:paraId="41E67AB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w:t>
            </w:r>
          </w:p>
        </w:tc>
        <w:tc>
          <w:tcPr>
            <w:tcW w:w="496" w:type="pct"/>
            <w:noWrap w:val="0"/>
            <w:vAlign w:val="center"/>
          </w:tcPr>
          <w:p w14:paraId="2EE23B11">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14.00</w:t>
            </w:r>
          </w:p>
        </w:tc>
      </w:tr>
      <w:tr w14:paraId="3D67FD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496" w:type="pct"/>
            <w:noWrap w:val="0"/>
            <w:vAlign w:val="center"/>
          </w:tcPr>
          <w:p w14:paraId="5CC0DBDB">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25</w:t>
            </w:r>
          </w:p>
        </w:tc>
        <w:tc>
          <w:tcPr>
            <w:tcW w:w="345" w:type="pct"/>
            <w:noWrap w:val="0"/>
            <w:vAlign w:val="center"/>
          </w:tcPr>
          <w:p w14:paraId="16D49E0B">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33.7</w:t>
            </w:r>
          </w:p>
        </w:tc>
        <w:tc>
          <w:tcPr>
            <w:tcW w:w="322" w:type="pct"/>
            <w:noWrap w:val="0"/>
            <w:vAlign w:val="center"/>
          </w:tcPr>
          <w:p w14:paraId="00E9D5A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3.2</w:t>
            </w:r>
          </w:p>
        </w:tc>
        <w:tc>
          <w:tcPr>
            <w:tcW w:w="479" w:type="pct"/>
            <w:noWrap w:val="0"/>
            <w:vAlign w:val="center"/>
          </w:tcPr>
          <w:p w14:paraId="4417FA41">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2.5</w:t>
            </w:r>
          </w:p>
        </w:tc>
        <w:tc>
          <w:tcPr>
            <w:tcW w:w="480" w:type="pct"/>
            <w:noWrap w:val="0"/>
            <w:vAlign w:val="center"/>
          </w:tcPr>
          <w:p w14:paraId="78045D1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65</w:t>
            </w:r>
          </w:p>
        </w:tc>
        <w:tc>
          <w:tcPr>
            <w:tcW w:w="365" w:type="pct"/>
            <w:noWrap w:val="0"/>
            <w:vAlign w:val="center"/>
          </w:tcPr>
          <w:p w14:paraId="2BC2BC47">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76.1</w:t>
            </w:r>
          </w:p>
        </w:tc>
        <w:tc>
          <w:tcPr>
            <w:tcW w:w="365" w:type="pct"/>
            <w:noWrap w:val="0"/>
            <w:vAlign w:val="center"/>
          </w:tcPr>
          <w:p w14:paraId="588106B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w:t>
            </w:r>
          </w:p>
        </w:tc>
        <w:tc>
          <w:tcPr>
            <w:tcW w:w="458" w:type="pct"/>
            <w:noWrap w:val="0"/>
            <w:vAlign w:val="center"/>
          </w:tcPr>
          <w:p w14:paraId="1DB0731F">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7.34</w:t>
            </w:r>
          </w:p>
        </w:tc>
        <w:tc>
          <w:tcPr>
            <w:tcW w:w="488" w:type="pct"/>
            <w:noWrap w:val="0"/>
            <w:vAlign w:val="center"/>
          </w:tcPr>
          <w:p w14:paraId="50FD145A">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150</w:t>
            </w:r>
          </w:p>
        </w:tc>
        <w:tc>
          <w:tcPr>
            <w:tcW w:w="338" w:type="pct"/>
            <w:noWrap w:val="0"/>
            <w:vAlign w:val="center"/>
          </w:tcPr>
          <w:p w14:paraId="7DE0803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165.1</w:t>
            </w:r>
          </w:p>
        </w:tc>
        <w:tc>
          <w:tcPr>
            <w:tcW w:w="361" w:type="pct"/>
            <w:noWrap w:val="0"/>
            <w:vAlign w:val="center"/>
          </w:tcPr>
          <w:p w14:paraId="270DFF31">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4.5</w:t>
            </w:r>
          </w:p>
        </w:tc>
        <w:tc>
          <w:tcPr>
            <w:tcW w:w="496" w:type="pct"/>
            <w:noWrap w:val="0"/>
            <w:vAlign w:val="center"/>
          </w:tcPr>
          <w:p w14:paraId="7AD0234D">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18.69</w:t>
            </w:r>
          </w:p>
        </w:tc>
      </w:tr>
      <w:tr w14:paraId="696764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496" w:type="pct"/>
            <w:noWrap w:val="0"/>
            <w:vAlign w:val="center"/>
          </w:tcPr>
          <w:p w14:paraId="6020B7F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32</w:t>
            </w:r>
          </w:p>
        </w:tc>
        <w:tc>
          <w:tcPr>
            <w:tcW w:w="345" w:type="pct"/>
            <w:noWrap w:val="0"/>
            <w:vAlign w:val="center"/>
          </w:tcPr>
          <w:p w14:paraId="0A735C4E">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42.4</w:t>
            </w:r>
          </w:p>
        </w:tc>
        <w:tc>
          <w:tcPr>
            <w:tcW w:w="322" w:type="pct"/>
            <w:noWrap w:val="0"/>
            <w:vAlign w:val="center"/>
          </w:tcPr>
          <w:p w14:paraId="4C1F54BD">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3.5</w:t>
            </w:r>
          </w:p>
        </w:tc>
        <w:tc>
          <w:tcPr>
            <w:tcW w:w="479" w:type="pct"/>
            <w:noWrap w:val="0"/>
            <w:vAlign w:val="center"/>
          </w:tcPr>
          <w:p w14:paraId="41E2BE66">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3.48</w:t>
            </w:r>
          </w:p>
        </w:tc>
        <w:tc>
          <w:tcPr>
            <w:tcW w:w="480" w:type="pct"/>
            <w:noWrap w:val="0"/>
            <w:vAlign w:val="center"/>
          </w:tcPr>
          <w:p w14:paraId="28DB9DA7">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80</w:t>
            </w:r>
          </w:p>
        </w:tc>
        <w:tc>
          <w:tcPr>
            <w:tcW w:w="365" w:type="pct"/>
            <w:noWrap w:val="0"/>
            <w:vAlign w:val="top"/>
          </w:tcPr>
          <w:p w14:paraId="50F289DD">
            <w:pPr>
              <w:keepNext w:val="0"/>
              <w:keepLines w:val="0"/>
              <w:pageBreakBefore w:val="0"/>
              <w:wordWrap/>
              <w:overflowPunct/>
              <w:topLinePunct w:val="0"/>
              <w:autoSpaceDN w:val="0"/>
              <w:bidi w:val="0"/>
              <w:spacing w:line="360" w:lineRule="auto"/>
              <w:ind w:left="0" w:leftChars="0" w:right="0" w:rightChars="0"/>
              <w:jc w:val="center"/>
              <w:textAlignment w:val="top"/>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88.9</w:t>
            </w:r>
          </w:p>
        </w:tc>
        <w:tc>
          <w:tcPr>
            <w:tcW w:w="365" w:type="pct"/>
            <w:noWrap w:val="0"/>
            <w:vAlign w:val="center"/>
          </w:tcPr>
          <w:p w14:paraId="4A52AF08">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w:t>
            </w:r>
          </w:p>
        </w:tc>
        <w:tc>
          <w:tcPr>
            <w:tcW w:w="458" w:type="pct"/>
            <w:noWrap w:val="0"/>
            <w:vAlign w:val="center"/>
          </w:tcPr>
          <w:p w14:paraId="5F2EAB67">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8.64</w:t>
            </w:r>
          </w:p>
        </w:tc>
        <w:tc>
          <w:tcPr>
            <w:tcW w:w="488" w:type="pct"/>
            <w:noWrap w:val="0"/>
            <w:vAlign w:val="center"/>
          </w:tcPr>
          <w:p w14:paraId="2A155129">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200</w:t>
            </w:r>
          </w:p>
        </w:tc>
        <w:tc>
          <w:tcPr>
            <w:tcW w:w="338" w:type="pct"/>
            <w:noWrap w:val="0"/>
            <w:vAlign w:val="center"/>
          </w:tcPr>
          <w:p w14:paraId="5D2CD703">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219.1</w:t>
            </w:r>
          </w:p>
        </w:tc>
        <w:tc>
          <w:tcPr>
            <w:tcW w:w="361" w:type="pct"/>
            <w:noWrap w:val="0"/>
            <w:vAlign w:val="center"/>
          </w:tcPr>
          <w:p w14:paraId="06A748E5">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w:t>
            </w:r>
          </w:p>
        </w:tc>
        <w:tc>
          <w:tcPr>
            <w:tcW w:w="496" w:type="pct"/>
            <w:noWrap w:val="0"/>
            <w:vAlign w:val="center"/>
          </w:tcPr>
          <w:p w14:paraId="5F51F3AC">
            <w:pPr>
              <w:keepNext w:val="0"/>
              <w:keepLines w:val="0"/>
              <w:pageBreakBefore w:val="0"/>
              <w:wordWrap/>
              <w:overflowPunct/>
              <w:topLinePunct w:val="0"/>
              <w:autoSpaceDN w:val="0"/>
              <w:bidi w:val="0"/>
              <w:spacing w:line="36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32.2</w:t>
            </w:r>
          </w:p>
        </w:tc>
      </w:tr>
    </w:tbl>
    <w:p w14:paraId="78C71E15">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kern w:val="2"/>
          <w:sz w:val="24"/>
          <w:szCs w:val="24"/>
          <w:highlight w:val="none"/>
          <w:lang w:val="en-US" w:eastAsia="zh-CN"/>
        </w:rPr>
        <w:t>基管为普通厚度的热镀锌钢管，定长为六米，壁厚、外径、不直度在国标允许的偏差范围内；</w:t>
      </w:r>
    </w:p>
    <w:p w14:paraId="7B7F1BA1">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lang w:val="en-US" w:eastAsia="zh-CN" w:bidi="ar-SA"/>
        </w:rPr>
        <w:t>4、</w:t>
      </w:r>
      <w:r>
        <w:rPr>
          <w:rFonts w:hint="eastAsia" w:ascii="宋体" w:hAnsi="宋体" w:eastAsia="宋体" w:cs="宋体"/>
          <w:color w:val="auto"/>
          <w:kern w:val="2"/>
          <w:sz w:val="24"/>
          <w:szCs w:val="24"/>
          <w:highlight w:val="none"/>
          <w:lang w:val="en-US" w:eastAsia="zh-CN"/>
        </w:rPr>
        <w:t>内衬塑料层厚度应达到1.5±0.2（mm）。</w:t>
      </w:r>
    </w:p>
    <w:p w14:paraId="70D291DD">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lang w:val="en-US" w:eastAsia="zh-CN" w:bidi="ar-SA"/>
        </w:rPr>
        <w:t>5、</w:t>
      </w:r>
      <w:r>
        <w:rPr>
          <w:rFonts w:hint="eastAsia" w:ascii="宋体" w:hAnsi="宋体" w:eastAsia="宋体" w:cs="宋体"/>
          <w:color w:val="auto"/>
          <w:kern w:val="2"/>
          <w:sz w:val="24"/>
          <w:szCs w:val="24"/>
          <w:highlight w:val="none"/>
          <w:lang w:val="en-US" w:eastAsia="zh-CN"/>
        </w:rPr>
        <w:t>钢塑管交货状态为内外表面镀锌，内表面在喷锌的基础上再衬塑；</w:t>
      </w:r>
    </w:p>
    <w:p w14:paraId="38D674B1">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lang w:val="en-US" w:eastAsia="zh-CN" w:bidi="ar-SA"/>
        </w:rPr>
        <w:t>6、</w:t>
      </w:r>
      <w:r>
        <w:rPr>
          <w:rFonts w:hint="eastAsia" w:ascii="宋体" w:hAnsi="宋体" w:eastAsia="宋体" w:cs="宋体"/>
          <w:color w:val="auto"/>
          <w:kern w:val="2"/>
          <w:sz w:val="24"/>
          <w:szCs w:val="24"/>
          <w:highlight w:val="none"/>
          <w:lang w:val="en-US" w:eastAsia="zh-CN"/>
        </w:rPr>
        <w:t>标记：标记按GB/T28897-2021标准相关要求执行。</w:t>
      </w:r>
    </w:p>
    <w:p w14:paraId="36705527">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7、焊接管应除去焊筋，其残留高度不应大于0.5MM；</w:t>
      </w:r>
    </w:p>
    <w:p w14:paraId="5A43F18B">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8、衬塑钢管的内衬塑料应符合国家和行业标准要求；</w:t>
      </w:r>
    </w:p>
    <w:p w14:paraId="66B0B908">
      <w:pPr>
        <w:keepNext w:val="0"/>
        <w:keepLines w:val="0"/>
        <w:pageBreakBefore w:val="0"/>
        <w:wordWrap/>
        <w:overflowPunct/>
        <w:topLinePunct w:val="0"/>
        <w:bidi w:val="0"/>
        <w:spacing w:line="360" w:lineRule="auto"/>
        <w:ind w:left="0" w:leftChars="0" w:right="0" w:righ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9、DN65及以上口径管其端口须压槽。</w:t>
      </w:r>
    </w:p>
    <w:p w14:paraId="45EF660E">
      <w:pPr>
        <w:keepNext w:val="0"/>
        <w:keepLines w:val="0"/>
        <w:pageBreakBefore w:val="0"/>
        <w:wordWrap/>
        <w:overflowPunct/>
        <w:topLinePunct w:val="0"/>
        <w:bidi w:val="0"/>
        <w:spacing w:line="360" w:lineRule="auto"/>
        <w:ind w:left="0" w:leftChars="0" w:right="0" w:righ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10、基管在衬塑前应进行必要的表面处理，其焊筋残留高度不应大于0.5mm，内衬塑料为全新100%纯PE，并满足《生活饮用水输配水设备及防护材料卫生安全评价规范》（2025）的相关要求。</w:t>
      </w:r>
    </w:p>
    <w:p w14:paraId="6839F95C">
      <w:pPr>
        <w:keepNext w:val="0"/>
        <w:keepLines w:val="0"/>
        <w:pageBreakBefore w:val="0"/>
        <w:wordWrap/>
        <w:overflowPunct/>
        <w:topLinePunct w:val="0"/>
        <w:bidi w:val="0"/>
        <w:spacing w:line="360" w:lineRule="auto"/>
        <w:ind w:left="0" w:leftChars="0" w:right="0" w:rightChars="0"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11、钢塑管塑层厚度和允许偏差：mm</w:t>
      </w:r>
    </w:p>
    <w:tbl>
      <w:tblPr>
        <w:tblStyle w:val="18"/>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5" w:type="dxa"/>
          <w:bottom w:w="0" w:type="dxa"/>
          <w:right w:w="15" w:type="dxa"/>
        </w:tblCellMar>
      </w:tblPr>
      <w:tblGrid>
        <w:gridCol w:w="3628"/>
        <w:gridCol w:w="2988"/>
        <w:gridCol w:w="3050"/>
      </w:tblGrid>
      <w:tr w14:paraId="37C02E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3628" w:type="dxa"/>
            <w:noWrap w:val="0"/>
            <w:vAlign w:val="center"/>
          </w:tcPr>
          <w:p w14:paraId="175B9539">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公称通径</w:t>
            </w:r>
          </w:p>
        </w:tc>
        <w:tc>
          <w:tcPr>
            <w:tcW w:w="2988" w:type="dxa"/>
            <w:noWrap w:val="0"/>
            <w:vAlign w:val="center"/>
          </w:tcPr>
          <w:p w14:paraId="579C3DEB">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厚度</w:t>
            </w:r>
          </w:p>
        </w:tc>
        <w:tc>
          <w:tcPr>
            <w:tcW w:w="3050" w:type="dxa"/>
            <w:noWrap w:val="0"/>
            <w:vAlign w:val="center"/>
          </w:tcPr>
          <w:p w14:paraId="1CB003C2">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允许偏差</w:t>
            </w:r>
          </w:p>
        </w:tc>
      </w:tr>
      <w:tr w14:paraId="3075C9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3628" w:type="dxa"/>
            <w:noWrap w:val="0"/>
            <w:vAlign w:val="center"/>
          </w:tcPr>
          <w:p w14:paraId="7CFFA913">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15--65</w:t>
            </w:r>
          </w:p>
        </w:tc>
        <w:tc>
          <w:tcPr>
            <w:tcW w:w="2988" w:type="dxa"/>
            <w:noWrap w:val="0"/>
            <w:vAlign w:val="center"/>
          </w:tcPr>
          <w:p w14:paraId="769CDE70">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w:t>
            </w:r>
          </w:p>
        </w:tc>
        <w:tc>
          <w:tcPr>
            <w:tcW w:w="3050" w:type="dxa"/>
            <w:noWrap w:val="0"/>
            <w:vAlign w:val="center"/>
          </w:tcPr>
          <w:p w14:paraId="5FBF90AB">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+0.2/-0.2</w:t>
            </w:r>
          </w:p>
        </w:tc>
      </w:tr>
      <w:tr w14:paraId="29EAA9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3628" w:type="dxa"/>
            <w:noWrap w:val="0"/>
            <w:vAlign w:val="center"/>
          </w:tcPr>
          <w:p w14:paraId="194807FE">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80--125</w:t>
            </w:r>
          </w:p>
        </w:tc>
        <w:tc>
          <w:tcPr>
            <w:tcW w:w="2988" w:type="dxa"/>
            <w:noWrap w:val="0"/>
            <w:vAlign w:val="center"/>
          </w:tcPr>
          <w:p w14:paraId="7A980C0E">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w:t>
            </w:r>
          </w:p>
        </w:tc>
        <w:tc>
          <w:tcPr>
            <w:tcW w:w="3050" w:type="dxa"/>
            <w:noWrap w:val="0"/>
            <w:vAlign w:val="center"/>
          </w:tcPr>
          <w:p w14:paraId="342851CC">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+0.2/-0.2</w:t>
            </w:r>
          </w:p>
        </w:tc>
      </w:tr>
      <w:tr w14:paraId="150D4A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3628" w:type="dxa"/>
            <w:noWrap w:val="0"/>
            <w:vAlign w:val="center"/>
          </w:tcPr>
          <w:p w14:paraId="6109E4CB">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150</w:t>
            </w:r>
          </w:p>
        </w:tc>
        <w:tc>
          <w:tcPr>
            <w:tcW w:w="2988" w:type="dxa"/>
            <w:noWrap w:val="0"/>
            <w:vAlign w:val="center"/>
          </w:tcPr>
          <w:p w14:paraId="3132E087">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2.5</w:t>
            </w:r>
          </w:p>
        </w:tc>
        <w:tc>
          <w:tcPr>
            <w:tcW w:w="3050" w:type="dxa"/>
            <w:noWrap w:val="0"/>
            <w:vAlign w:val="center"/>
          </w:tcPr>
          <w:p w14:paraId="4E4B5125">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+0.2/-0.2</w:t>
            </w:r>
          </w:p>
        </w:tc>
      </w:tr>
      <w:tr w14:paraId="69A69C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3628" w:type="dxa"/>
            <w:noWrap w:val="0"/>
            <w:vAlign w:val="center"/>
          </w:tcPr>
          <w:p w14:paraId="1E0BC32C">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200</w:t>
            </w:r>
          </w:p>
        </w:tc>
        <w:tc>
          <w:tcPr>
            <w:tcW w:w="2988" w:type="dxa"/>
            <w:noWrap w:val="0"/>
            <w:vAlign w:val="center"/>
          </w:tcPr>
          <w:p w14:paraId="2F37CB46">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2.5</w:t>
            </w:r>
          </w:p>
        </w:tc>
        <w:tc>
          <w:tcPr>
            <w:tcW w:w="3050" w:type="dxa"/>
            <w:noWrap w:val="0"/>
            <w:vAlign w:val="center"/>
          </w:tcPr>
          <w:p w14:paraId="61AD0AB1">
            <w:pPr>
              <w:keepNext w:val="0"/>
              <w:keepLines w:val="0"/>
              <w:pageBreakBefore w:val="0"/>
              <w:wordWrap/>
              <w:overflowPunct/>
              <w:topLinePunct w:val="0"/>
              <w:bidi w:val="0"/>
              <w:spacing w:line="240" w:lineRule="auto"/>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+不限/-0.5</w:t>
            </w:r>
          </w:p>
        </w:tc>
      </w:tr>
    </w:tbl>
    <w:p w14:paraId="2731AD69">
      <w:pPr>
        <w:keepNext w:val="0"/>
        <w:keepLines w:val="0"/>
        <w:pageBreakBefore w:val="0"/>
        <w:wordWrap/>
        <w:overflowPunct/>
        <w:topLinePunct w:val="0"/>
        <w:bidi w:val="0"/>
        <w:spacing w:line="360" w:lineRule="auto"/>
        <w:ind w:left="0" w:leftChars="0" w:right="0" w:rightChars="0" w:firstLine="480" w:firstLineChars="20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12、钢塑管达标重量为：</w:t>
      </w:r>
    </w:p>
    <w:tbl>
      <w:tblPr>
        <w:tblStyle w:val="18"/>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5" w:type="dxa"/>
          <w:bottom w:w="0" w:type="dxa"/>
          <w:right w:w="15" w:type="dxa"/>
        </w:tblCellMar>
      </w:tblPr>
      <w:tblGrid>
        <w:gridCol w:w="3628"/>
        <w:gridCol w:w="2988"/>
        <w:gridCol w:w="3050"/>
      </w:tblGrid>
      <w:tr w14:paraId="78B074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1EAC7E84">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公称口径</w:t>
            </w:r>
          </w:p>
        </w:tc>
        <w:tc>
          <w:tcPr>
            <w:tcW w:w="1545" w:type="pct"/>
            <w:noWrap w:val="0"/>
            <w:vAlign w:val="center"/>
          </w:tcPr>
          <w:p w14:paraId="396459BB">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壁厚 mm</w:t>
            </w:r>
          </w:p>
        </w:tc>
        <w:tc>
          <w:tcPr>
            <w:tcW w:w="1577" w:type="pct"/>
            <w:noWrap w:val="0"/>
            <w:vAlign w:val="center"/>
          </w:tcPr>
          <w:p w14:paraId="021A8715">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达标重量 kg/支</w:t>
            </w:r>
          </w:p>
        </w:tc>
      </w:tr>
      <w:tr w14:paraId="1FD7EC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4372E385">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w:t>
            </w:r>
          </w:p>
        </w:tc>
        <w:tc>
          <w:tcPr>
            <w:tcW w:w="1545" w:type="pct"/>
            <w:noWrap w:val="0"/>
            <w:vAlign w:val="center"/>
          </w:tcPr>
          <w:p w14:paraId="524ADE97">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2.80</w:t>
            </w:r>
          </w:p>
        </w:tc>
        <w:tc>
          <w:tcPr>
            <w:tcW w:w="1577" w:type="pct"/>
            <w:noWrap w:val="0"/>
            <w:vAlign w:val="center"/>
          </w:tcPr>
          <w:p w14:paraId="1E23C4C3">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8.40</w:t>
            </w:r>
          </w:p>
        </w:tc>
      </w:tr>
      <w:tr w14:paraId="18655A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6A727BD1">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w:t>
            </w:r>
          </w:p>
        </w:tc>
        <w:tc>
          <w:tcPr>
            <w:tcW w:w="1545" w:type="pct"/>
            <w:noWrap w:val="0"/>
            <w:vAlign w:val="center"/>
          </w:tcPr>
          <w:p w14:paraId="2E2A46C3">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2.80</w:t>
            </w:r>
          </w:p>
        </w:tc>
        <w:tc>
          <w:tcPr>
            <w:tcW w:w="1577" w:type="pct"/>
            <w:noWrap w:val="0"/>
            <w:vAlign w:val="center"/>
          </w:tcPr>
          <w:p w14:paraId="5FF77E09">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10.75</w:t>
            </w:r>
          </w:p>
        </w:tc>
      </w:tr>
      <w:tr w14:paraId="7C9EF3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63AEE6D3">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25</w:t>
            </w:r>
          </w:p>
        </w:tc>
        <w:tc>
          <w:tcPr>
            <w:tcW w:w="1545" w:type="pct"/>
            <w:noWrap w:val="0"/>
            <w:vAlign w:val="center"/>
          </w:tcPr>
          <w:p w14:paraId="10386DFC">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3.20</w:t>
            </w:r>
          </w:p>
        </w:tc>
        <w:tc>
          <w:tcPr>
            <w:tcW w:w="1577" w:type="pct"/>
            <w:noWrap w:val="0"/>
            <w:vAlign w:val="center"/>
          </w:tcPr>
          <w:p w14:paraId="3867ACB4">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15.40</w:t>
            </w:r>
          </w:p>
        </w:tc>
      </w:tr>
      <w:tr w14:paraId="3E8E75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01F1DEBC">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32</w:t>
            </w:r>
          </w:p>
        </w:tc>
        <w:tc>
          <w:tcPr>
            <w:tcW w:w="1545" w:type="pct"/>
            <w:noWrap w:val="0"/>
            <w:vAlign w:val="center"/>
          </w:tcPr>
          <w:p w14:paraId="037FA090">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3.50</w:t>
            </w:r>
          </w:p>
        </w:tc>
        <w:tc>
          <w:tcPr>
            <w:tcW w:w="1577" w:type="pct"/>
            <w:noWrap w:val="0"/>
            <w:vAlign w:val="center"/>
          </w:tcPr>
          <w:p w14:paraId="66DA49A6">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21.00</w:t>
            </w:r>
          </w:p>
        </w:tc>
      </w:tr>
      <w:tr w14:paraId="0348C8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31F13BBC">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w:t>
            </w:r>
          </w:p>
        </w:tc>
        <w:tc>
          <w:tcPr>
            <w:tcW w:w="1545" w:type="pct"/>
            <w:noWrap w:val="0"/>
            <w:vAlign w:val="center"/>
          </w:tcPr>
          <w:p w14:paraId="697AE619">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3.50</w:t>
            </w:r>
          </w:p>
        </w:tc>
        <w:tc>
          <w:tcPr>
            <w:tcW w:w="1577" w:type="pct"/>
            <w:noWrap w:val="0"/>
            <w:vAlign w:val="center"/>
          </w:tcPr>
          <w:p w14:paraId="1B1E7531">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24.50</w:t>
            </w:r>
          </w:p>
        </w:tc>
      </w:tr>
      <w:tr w14:paraId="754E9F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1C423700">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50</w:t>
            </w:r>
          </w:p>
        </w:tc>
        <w:tc>
          <w:tcPr>
            <w:tcW w:w="1545" w:type="pct"/>
            <w:noWrap w:val="0"/>
            <w:vAlign w:val="center"/>
          </w:tcPr>
          <w:p w14:paraId="4EE0C6AE">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3.80</w:t>
            </w:r>
          </w:p>
        </w:tc>
        <w:tc>
          <w:tcPr>
            <w:tcW w:w="1577" w:type="pct"/>
            <w:noWrap w:val="0"/>
            <w:vAlign w:val="center"/>
          </w:tcPr>
          <w:p w14:paraId="7406910C">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33.50</w:t>
            </w:r>
          </w:p>
        </w:tc>
      </w:tr>
      <w:tr w14:paraId="046DE2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3912E3F4">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65</w:t>
            </w:r>
          </w:p>
        </w:tc>
        <w:tc>
          <w:tcPr>
            <w:tcW w:w="1545" w:type="pct"/>
            <w:noWrap w:val="0"/>
            <w:vAlign w:val="center"/>
          </w:tcPr>
          <w:p w14:paraId="6EEFA7B3">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4.00</w:t>
            </w:r>
          </w:p>
        </w:tc>
        <w:tc>
          <w:tcPr>
            <w:tcW w:w="1577" w:type="pct"/>
            <w:noWrap w:val="0"/>
            <w:vAlign w:val="center"/>
          </w:tcPr>
          <w:p w14:paraId="4C8B28EB">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44.75</w:t>
            </w:r>
          </w:p>
        </w:tc>
      </w:tr>
      <w:tr w14:paraId="0B12BD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55EE7F8D">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80</w:t>
            </w:r>
          </w:p>
        </w:tc>
        <w:tc>
          <w:tcPr>
            <w:tcW w:w="1545" w:type="pct"/>
            <w:noWrap w:val="0"/>
            <w:vAlign w:val="center"/>
          </w:tcPr>
          <w:p w14:paraId="57ED9D53">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4.00</w:t>
            </w:r>
          </w:p>
        </w:tc>
        <w:tc>
          <w:tcPr>
            <w:tcW w:w="1577" w:type="pct"/>
            <w:noWrap w:val="0"/>
            <w:vAlign w:val="center"/>
          </w:tcPr>
          <w:p w14:paraId="3CD09D46">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53.50</w:t>
            </w:r>
          </w:p>
        </w:tc>
      </w:tr>
      <w:tr w14:paraId="0F9103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20089035">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100</w:t>
            </w:r>
          </w:p>
        </w:tc>
        <w:tc>
          <w:tcPr>
            <w:tcW w:w="1545" w:type="pct"/>
            <w:noWrap w:val="0"/>
            <w:vAlign w:val="center"/>
          </w:tcPr>
          <w:p w14:paraId="092DE217">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4.00</w:t>
            </w:r>
          </w:p>
        </w:tc>
        <w:tc>
          <w:tcPr>
            <w:tcW w:w="1577" w:type="pct"/>
            <w:noWrap w:val="0"/>
            <w:vAlign w:val="center"/>
          </w:tcPr>
          <w:p w14:paraId="4E376FF0">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70.00</w:t>
            </w:r>
          </w:p>
        </w:tc>
      </w:tr>
      <w:tr w14:paraId="5BCEE1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03235A16">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125</w:t>
            </w:r>
          </w:p>
        </w:tc>
        <w:tc>
          <w:tcPr>
            <w:tcW w:w="1545" w:type="pct"/>
            <w:noWrap w:val="0"/>
            <w:vAlign w:val="center"/>
          </w:tcPr>
          <w:p w14:paraId="24C2BEF2">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4.00</w:t>
            </w:r>
          </w:p>
        </w:tc>
        <w:tc>
          <w:tcPr>
            <w:tcW w:w="1577" w:type="pct"/>
            <w:noWrap w:val="0"/>
            <w:vAlign w:val="center"/>
          </w:tcPr>
          <w:p w14:paraId="3C38E011">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85.50</w:t>
            </w:r>
          </w:p>
        </w:tc>
      </w:tr>
      <w:tr w14:paraId="1B95CF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249DA4EB">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150</w:t>
            </w:r>
          </w:p>
        </w:tc>
        <w:tc>
          <w:tcPr>
            <w:tcW w:w="1545" w:type="pct"/>
            <w:noWrap w:val="0"/>
            <w:vAlign w:val="center"/>
          </w:tcPr>
          <w:p w14:paraId="2701CCBE">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4.50</w:t>
            </w:r>
          </w:p>
        </w:tc>
        <w:tc>
          <w:tcPr>
            <w:tcW w:w="1577" w:type="pct"/>
            <w:noWrap w:val="0"/>
            <w:vAlign w:val="center"/>
          </w:tcPr>
          <w:p w14:paraId="0CC19EB2">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113.00</w:t>
            </w:r>
          </w:p>
        </w:tc>
      </w:tr>
      <w:tr w14:paraId="64DC7E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5" w:type="dxa"/>
            <w:bottom w:w="0" w:type="dxa"/>
            <w:right w:w="15" w:type="dxa"/>
          </w:tblCellMar>
        </w:tblPrEx>
        <w:trPr>
          <w:trHeight w:val="23" w:hRule="atLeast"/>
          <w:jc w:val="center"/>
        </w:trPr>
        <w:tc>
          <w:tcPr>
            <w:tcW w:w="1876" w:type="pct"/>
            <w:noWrap w:val="0"/>
            <w:vAlign w:val="center"/>
          </w:tcPr>
          <w:p w14:paraId="7B98EA34">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200</w:t>
            </w:r>
          </w:p>
        </w:tc>
        <w:tc>
          <w:tcPr>
            <w:tcW w:w="1545" w:type="pct"/>
            <w:noWrap w:val="0"/>
            <w:vAlign w:val="center"/>
          </w:tcPr>
          <w:p w14:paraId="5B1CA8AD">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6.00</w:t>
            </w:r>
          </w:p>
        </w:tc>
        <w:tc>
          <w:tcPr>
            <w:tcW w:w="1577" w:type="pct"/>
            <w:noWrap w:val="0"/>
            <w:vAlign w:val="center"/>
          </w:tcPr>
          <w:p w14:paraId="44D29DE9">
            <w:pPr>
              <w:keepNext w:val="0"/>
              <w:keepLines w:val="0"/>
              <w:pageBreakBefore w:val="0"/>
              <w:wordWrap/>
              <w:overflowPunct/>
              <w:topLinePunct w:val="0"/>
              <w:autoSpaceDN w:val="0"/>
              <w:bidi w:val="0"/>
              <w:spacing w:line="240" w:lineRule="auto"/>
              <w:ind w:left="0" w:leftChars="0" w:right="0" w:rightChars="0"/>
              <w:jc w:val="center"/>
              <w:textAlignment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195.00</w:t>
            </w:r>
          </w:p>
        </w:tc>
      </w:tr>
    </w:tbl>
    <w:p w14:paraId="51B7D14E">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color w:val="auto"/>
          <w:kern w:val="2"/>
          <w:sz w:val="24"/>
          <w:szCs w:val="24"/>
          <w:highlight w:val="none"/>
          <w:lang w:val="en-US" w:eastAsia="zh-CN"/>
        </w:rPr>
      </w:pPr>
    </w:p>
    <w:p w14:paraId="17AA3EE5">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13、衬塑钢管的产品质量应符合《给水衬塑复合钢管》（CJ/T136-2001）要求，卫生性能符合《生活饮用水输配水设备及防护材料的安全性评价标准》（GB/T 17219-2025）的要求；</w:t>
      </w:r>
    </w:p>
    <w:p w14:paraId="590E31AE">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14、外观要求：衬塑钢管内外表面应光滑，不得有气泡、裂纹、脱皮、伤痕、凹陷、色泽不均匀等缺陷，无离层现象，两端截面与管轴线成垂直。</w:t>
      </w:r>
    </w:p>
    <w:p w14:paraId="3C67ADC8">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15、包装应按《钢管的验收、包装、标志和质量证明书》（GB/T 2102-2022）中第5.3条捆扎包装要求。</w:t>
      </w:r>
    </w:p>
    <w:p w14:paraId="7FA4A138">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16、由供应方运输至工地，并负责卸货及保管，保证货物无损伤，可随时使用。</w:t>
      </w:r>
    </w:p>
    <w:p w14:paraId="6B8C43F3">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17、</w:t>
      </w:r>
      <w:r>
        <w:rPr>
          <w:rFonts w:hint="eastAsia" w:ascii="宋体" w:hAnsi="宋体" w:eastAsia="宋体" w:cs="宋体"/>
          <w:color w:val="auto"/>
          <w:sz w:val="24"/>
          <w:szCs w:val="24"/>
          <w:highlight w:val="none"/>
        </w:rPr>
        <w:t>热镀锌衬塑沟槽异径配件</w:t>
      </w:r>
      <w:r>
        <w:rPr>
          <w:rFonts w:hint="eastAsia" w:ascii="宋体" w:hAnsi="宋体" w:eastAsia="宋体" w:cs="宋体"/>
          <w:b/>
          <w:bCs/>
          <w:color w:val="auto"/>
          <w:sz w:val="24"/>
          <w:szCs w:val="24"/>
          <w:highlight w:val="none"/>
        </w:rPr>
        <w:t>需符合中华人民共和国国家质量监督检验检疫总局发布的沟槽式管接件标准GB5135.11-2006。</w:t>
      </w:r>
    </w:p>
    <w:p w14:paraId="3D196865">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注：1、以</w:t>
      </w:r>
      <w:r>
        <w:rPr>
          <w:rFonts w:hint="eastAsia" w:ascii="宋体" w:hAnsi="宋体" w:eastAsia="宋体" w:cs="宋体"/>
          <w:color w:val="auto"/>
          <w:sz w:val="24"/>
          <w:szCs w:val="24"/>
          <w:highlight w:val="none"/>
          <w:lang w:val="en-US" w:eastAsia="zh-CN"/>
        </w:rPr>
        <w:t>上</w:t>
      </w:r>
      <w:r>
        <w:rPr>
          <w:rFonts w:hint="eastAsia" w:ascii="宋体" w:hAnsi="宋体" w:eastAsia="宋体" w:cs="宋体"/>
          <w:color w:val="auto"/>
          <w:sz w:val="24"/>
          <w:szCs w:val="24"/>
          <w:highlight w:val="none"/>
        </w:rPr>
        <w:t>所列产品中如有仅指某生产商的，则仅供参考，投标人在满足或优于所要求的技术参数基础上可自行选择生产商及型号。</w:t>
      </w:r>
    </w:p>
    <w:p w14:paraId="4D9B69D4">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所投产品</w:t>
      </w:r>
      <w:r>
        <w:rPr>
          <w:rFonts w:hint="eastAsia" w:ascii="宋体" w:hAnsi="宋体" w:eastAsia="宋体" w:cs="宋体"/>
          <w:color w:val="auto"/>
          <w:sz w:val="24"/>
          <w:szCs w:val="24"/>
          <w:highlight w:val="none"/>
          <w:lang w:val="en-US" w:eastAsia="zh-CN"/>
        </w:rPr>
        <w:t>如有最新</w:t>
      </w:r>
      <w:r>
        <w:rPr>
          <w:rFonts w:hint="eastAsia" w:ascii="宋体" w:hAnsi="宋体" w:eastAsia="宋体" w:cs="宋体"/>
          <w:color w:val="auto"/>
          <w:sz w:val="24"/>
          <w:szCs w:val="24"/>
          <w:highlight w:val="none"/>
        </w:rPr>
        <w:t>最新国家标准或行业标准</w:t>
      </w:r>
      <w:r>
        <w:rPr>
          <w:rFonts w:hint="eastAsia" w:ascii="宋体" w:hAnsi="宋体" w:eastAsia="宋体" w:cs="宋体"/>
          <w:color w:val="auto"/>
          <w:sz w:val="24"/>
          <w:szCs w:val="24"/>
          <w:highlight w:val="none"/>
          <w:lang w:val="en-US" w:eastAsia="zh-CN"/>
        </w:rPr>
        <w:t>的按最新标准</w:t>
      </w:r>
      <w:r>
        <w:rPr>
          <w:rFonts w:hint="eastAsia" w:ascii="宋体" w:hAnsi="宋体" w:eastAsia="宋体" w:cs="宋体"/>
          <w:color w:val="auto"/>
          <w:sz w:val="24"/>
          <w:szCs w:val="24"/>
          <w:highlight w:val="none"/>
        </w:rPr>
        <w:t>执行。</w:t>
      </w:r>
    </w:p>
    <w:p w14:paraId="009DD62B">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bidi="ar-SA"/>
        </w:rPr>
        <w:t>执行标准：</w:t>
      </w:r>
    </w:p>
    <w:p w14:paraId="4E2B49CF">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（1）产品执行标准</w:t>
      </w:r>
    </w:p>
    <w:p w14:paraId="3AE9FD6B">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GB/T28897-2021流体输送钢塑复合管及管件</w:t>
      </w:r>
    </w:p>
    <w:p w14:paraId="0EC9ABCA">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GB/T3091-2025低压流体输送用焊接钢管</w:t>
      </w:r>
    </w:p>
    <w:p w14:paraId="1248C5CF">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GB/T13663-2018给水用聚乙烯（PE）管材</w:t>
      </w:r>
    </w:p>
    <w:p w14:paraId="0CAD3E36">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（2）衬塑复合管材内衬塑料卫生性能应符合GB/T17219-2025生活饮用水输配水设备及防护材料的安全性评价标准。</w:t>
      </w:r>
    </w:p>
    <w:p w14:paraId="79FC6985">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（3）衬塑复合管热镀锌外防腐层应满足镀锌层单位面积总重量不得小于280g/㎡。</w:t>
      </w:r>
    </w:p>
    <w:p w14:paraId="32F69296">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（4）结合强度：</w:t>
      </w:r>
    </w:p>
    <w:p w14:paraId="3FBDD761">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衬塑复合管的钢与内衬塑之间结合强度不应小于1.0Mpa。</w:t>
      </w:r>
    </w:p>
    <w:p w14:paraId="15ACB5BC">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（5）弯曲性能</w:t>
      </w:r>
    </w:p>
    <w:p w14:paraId="36E01D49">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弯曲实验：公称通径≤50mm衬塑钢管经弯曲（弯曲角度10°，弯心试件外径8倍）后不发生裂痕，钢与塑之间不发生离层现象。</w:t>
      </w:r>
    </w:p>
    <w:p w14:paraId="3A5CE3D5">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（6）压扁性能</w:t>
      </w:r>
    </w:p>
    <w:p w14:paraId="466B8B07">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公称直径大于50mm的衬塑钢管经压扁后不发生裂痕，钢与内外塑层不发生离层现象。</w:t>
      </w:r>
    </w:p>
    <w:p w14:paraId="0B508A5F">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sz w:val="24"/>
          <w:szCs w:val="24"/>
        </w:rPr>
      </w:pPr>
    </w:p>
    <w:p w14:paraId="73F0B65B">
      <w:pPr>
        <w:keepNext w:val="0"/>
        <w:keepLines w:val="0"/>
        <w:pageBreakBefore w:val="0"/>
        <w:wordWrap/>
        <w:overflowPunct/>
        <w:topLinePunct w:val="0"/>
        <w:bidi w:val="0"/>
        <w:spacing w:line="360" w:lineRule="auto"/>
        <w:ind w:left="0" w:leftChars="0" w:right="0" w:rightChars="0"/>
        <w:rPr>
          <w:rFonts w:hint="eastAsia" w:ascii="宋体" w:hAnsi="宋体" w:eastAsia="宋体" w:cs="宋体"/>
          <w:b/>
          <w:bCs/>
          <w:color w:val="auto"/>
          <w:spacing w:val="0"/>
          <w:w w:val="100"/>
          <w:position w:val="0"/>
          <w:sz w:val="32"/>
          <w:szCs w:val="32"/>
          <w:lang w:val="en-US" w:eastAsia="zh-CN"/>
        </w:rPr>
      </w:pPr>
      <w:r>
        <w:rPr>
          <w:rFonts w:hint="eastAsia" w:ascii="宋体" w:hAnsi="宋体" w:eastAsia="宋体" w:cs="宋体"/>
          <w:b/>
          <w:bCs/>
          <w:color w:val="auto"/>
          <w:spacing w:val="0"/>
          <w:w w:val="100"/>
          <w:position w:val="0"/>
          <w:sz w:val="32"/>
          <w:szCs w:val="32"/>
          <w:lang w:val="en-US" w:eastAsia="zh-CN"/>
        </w:rPr>
        <w:br w:type="page"/>
      </w:r>
    </w:p>
    <w:p w14:paraId="70139CD8">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b/>
          <w:bCs/>
          <w:color w:val="auto"/>
          <w:spacing w:val="0"/>
          <w:w w:val="100"/>
          <w:position w:val="0"/>
          <w:sz w:val="32"/>
          <w:szCs w:val="32"/>
          <w:lang w:eastAsia="zh-CN"/>
        </w:rPr>
      </w:pPr>
      <w:r>
        <w:rPr>
          <w:rFonts w:hint="eastAsia" w:ascii="宋体" w:hAnsi="宋体" w:eastAsia="宋体" w:cs="宋体"/>
          <w:b/>
          <w:bCs/>
          <w:color w:val="auto"/>
          <w:spacing w:val="0"/>
          <w:w w:val="100"/>
          <w:position w:val="0"/>
          <w:sz w:val="32"/>
          <w:szCs w:val="32"/>
          <w:lang w:val="en-US" w:eastAsia="zh-CN"/>
        </w:rPr>
        <w:t>二、</w:t>
      </w:r>
      <w:r>
        <w:rPr>
          <w:rFonts w:hint="eastAsia" w:ascii="宋体" w:hAnsi="宋体" w:eastAsia="宋体" w:cs="宋体"/>
          <w:b/>
          <w:bCs/>
          <w:color w:val="auto"/>
          <w:spacing w:val="0"/>
          <w:w w:val="100"/>
          <w:position w:val="0"/>
          <w:sz w:val="32"/>
          <w:szCs w:val="32"/>
          <w:lang w:eastAsia="zh-CN"/>
        </w:rPr>
        <w:t>商务条款</w:t>
      </w:r>
    </w:p>
    <w:p w14:paraId="05E7BC69">
      <w:pPr>
        <w:keepNext w:val="0"/>
        <w:keepLines w:val="0"/>
        <w:pageBreakBefore w:val="0"/>
        <w:widowControl w:val="0"/>
        <w:shd w:val="clear"/>
        <w:wordWrap/>
        <w:overflowPunct/>
        <w:topLinePunct w:val="0"/>
        <w:bidi w:val="0"/>
        <w:spacing w:line="360" w:lineRule="auto"/>
        <w:ind w:left="0" w:leftChars="0" w:right="0" w:rightChars="0"/>
        <w:rPr>
          <w:rFonts w:hint="eastAsia" w:ascii="宋体" w:hAnsi="宋体" w:eastAsia="Arial" w:cs="宋体"/>
          <w:b w:val="0"/>
          <w:bCs w:val="0"/>
          <w:color w:val="000000"/>
          <w:kern w:val="0"/>
          <w:sz w:val="24"/>
          <w:szCs w:val="24"/>
          <w:highlight w:val="none"/>
          <w:vertAlign w:val="baseline"/>
          <w:lang w:val="zh-CN" w:eastAsia="zh-CN" w:bidi="ar"/>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1、交货时间：</w:t>
      </w:r>
      <w:r>
        <w:rPr>
          <w:rFonts w:hint="eastAsia" w:ascii="宋体" w:hAnsi="宋体" w:eastAsia="Arial" w:cs="宋体"/>
          <w:b w:val="0"/>
          <w:bCs w:val="0"/>
          <w:color w:val="000000"/>
          <w:kern w:val="0"/>
          <w:sz w:val="24"/>
          <w:szCs w:val="24"/>
          <w:highlight w:val="none"/>
          <w:vertAlign w:val="baseline"/>
          <w:lang w:val="zh-CN" w:eastAsia="zh-CN" w:bidi="ar"/>
        </w:rPr>
        <w:t>本项目为分批次供货，实际以采购人下发供货通知之日起，7天内须货到现场。投标人提供的全部货物均应按标准保护措施进行包装，这类包装应适用于远距离运输、防潮、防震、防锈和防野蛮装卸，以确保货物安全无损运抵指定现场。由于包装不善引起的货物损坏和损失均由投标人负责。</w:t>
      </w:r>
    </w:p>
    <w:p w14:paraId="741C651D">
      <w:pPr>
        <w:keepNext w:val="0"/>
        <w:keepLines w:val="0"/>
        <w:pageBreakBefore w:val="0"/>
        <w:widowControl w:val="0"/>
        <w:shd w:val="clear"/>
        <w:wordWrap/>
        <w:overflowPunct/>
        <w:topLinePunct w:val="0"/>
        <w:bidi w:val="0"/>
        <w:spacing w:line="360" w:lineRule="auto"/>
        <w:ind w:left="0" w:leftChars="0" w:right="0" w:rightChars="0" w:firstLine="482" w:firstLineChars="200"/>
        <w:rPr>
          <w:rFonts w:hint="default" w:ascii="宋体" w:hAnsi="宋体" w:eastAsia="Arial" w:cs="宋体"/>
          <w:b/>
          <w:bCs/>
          <w:color w:val="00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供货期限</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w:t>
      </w:r>
      <w:r>
        <w:rPr>
          <w:rFonts w:hint="eastAsia" w:ascii="宋体" w:hAnsi="宋体" w:eastAsia="宋体" w:cs="宋体"/>
          <w:b/>
          <w:bCs/>
          <w:kern w:val="0"/>
          <w:sz w:val="24"/>
          <w:szCs w:val="24"/>
          <w:lang w:val="zh-CN"/>
        </w:rPr>
        <w:t>完成本项目采购金额</w:t>
      </w:r>
      <w:r>
        <w:rPr>
          <w:rFonts w:hint="eastAsia" w:ascii="宋体" w:hAnsi="宋体" w:eastAsia="宋体" w:cs="宋体"/>
          <w:b/>
          <w:bCs/>
          <w:sz w:val="24"/>
          <w:szCs w:val="24"/>
          <w:lang w:val="en-US" w:eastAsia="zh-CN"/>
        </w:rPr>
        <w:t>120万元</w:t>
      </w:r>
      <w:r>
        <w:rPr>
          <w:rFonts w:hint="eastAsia" w:ascii="宋体" w:hAnsi="宋体" w:eastAsia="宋体" w:cs="宋体"/>
          <w:b/>
          <w:bCs/>
          <w:sz w:val="24"/>
          <w:szCs w:val="24"/>
        </w:rPr>
        <w:t>或1年采购服务期满</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以先到达为准，则</w:t>
      </w:r>
      <w:r>
        <w:rPr>
          <w:rFonts w:hint="eastAsia" w:ascii="宋体" w:hAnsi="宋体" w:eastAsia="宋体" w:cs="宋体"/>
          <w:b/>
          <w:bCs/>
          <w:sz w:val="24"/>
          <w:szCs w:val="24"/>
        </w:rPr>
        <w:t>采购合同终</w:t>
      </w:r>
      <w:r>
        <w:rPr>
          <w:rFonts w:hint="eastAsia" w:ascii="宋体" w:hAnsi="宋体" w:eastAsia="宋体" w:cs="宋体"/>
          <w:b/>
          <w:bCs/>
          <w:sz w:val="24"/>
          <w:szCs w:val="24"/>
          <w:lang w:val="en-US" w:eastAsia="zh-CN"/>
        </w:rPr>
        <w:t>止。</w:t>
      </w:r>
    </w:p>
    <w:p w14:paraId="214512F6">
      <w:pPr>
        <w:keepNext w:val="0"/>
        <w:keepLines w:val="0"/>
        <w:pageBreakBefore w:val="0"/>
        <w:widowControl w:val="0"/>
        <w:shd w:val="clear"/>
        <w:wordWrap/>
        <w:overflowPunct/>
        <w:topLinePunct w:val="0"/>
        <w:bidi w:val="0"/>
        <w:spacing w:line="360" w:lineRule="auto"/>
        <w:ind w:left="0" w:leftChars="0" w:right="0" w:rightChars="0"/>
        <w:rPr>
          <w:rFonts w:hint="eastAsia" w:ascii="宋体" w:hAnsi="宋体" w:eastAsia="宋体" w:cs="宋体"/>
          <w:color w:val="auto"/>
          <w:spacing w:val="0"/>
          <w:w w:val="100"/>
          <w:position w:val="0"/>
          <w:highlight w:val="none"/>
          <w:lang w:eastAsia="zh-CN"/>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2、供货地点</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甲方指定地点。</w:t>
      </w:r>
    </w:p>
    <w:p w14:paraId="44A75018">
      <w:pPr>
        <w:keepNext w:val="0"/>
        <w:keepLines w:val="0"/>
        <w:pageBreakBefore w:val="0"/>
        <w:widowControl w:val="0"/>
        <w:shd w:val="clear"/>
        <w:wordWrap/>
        <w:overflowPunct/>
        <w:topLinePunct w:val="0"/>
        <w:bidi w:val="0"/>
        <w:spacing w:line="360" w:lineRule="auto"/>
        <w:ind w:left="0" w:leftChars="0" w:right="0" w:rightChars="0"/>
        <w:rPr>
          <w:rFonts w:hint="eastAsia" w:ascii="宋体" w:hAnsi="宋体" w:eastAsia="宋体" w:cs="宋体"/>
          <w:color w:val="auto"/>
          <w:spacing w:val="0"/>
          <w:w w:val="100"/>
          <w:position w:val="0"/>
          <w:highlight w:val="none"/>
          <w:lang w:eastAsia="zh-CN"/>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3、</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付款方式：</w:t>
      </w:r>
      <w:r>
        <w:rPr>
          <w:rFonts w:hint="eastAsia" w:ascii="宋体" w:hAnsi="宋体" w:cs="宋体"/>
          <w:sz w:val="24"/>
          <w:szCs w:val="24"/>
        </w:rPr>
        <w:t>签定合同后，在每批次付款时扣除该批次货款的5%，乙方分批次将货物送至甲方指定场所，由甲方人员现场签收产品（品名、规格型号、数量、质量），待甲方分批次验收后支付该批次货款，每批次货款的5%在甲方完成全部货物的验收合格后一年内付清。在甲方支付每笔款项前，乙方需提供合法有效的等额增值税专用发票，甲方审核无误后向乙方支付该笔款项。</w:t>
      </w:r>
    </w:p>
    <w:p w14:paraId="2D4D3F9D">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rPr>
          <w:rFonts w:ascii="宋体" w:hAnsi="宋体" w:cs="宋体"/>
          <w:b/>
          <w:bCs/>
          <w:kern w:val="0"/>
          <w:sz w:val="24"/>
          <w:szCs w:val="24"/>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4、报价方式：</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本项目所有投标均以</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综合折扣</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报价，报价内容包含但不限于招标文件规定</w:t>
      </w:r>
      <w:r>
        <w:rPr>
          <w:rFonts w:hint="eastAsia" w:ascii="宋体" w:hAnsi="宋体" w:cs="宋体"/>
          <w:color w:val="auto"/>
          <w:kern w:val="0"/>
          <w:sz w:val="24"/>
          <w:szCs w:val="24"/>
          <w:highlight w:val="none"/>
        </w:rPr>
        <w:t>的货物及附属</w:t>
      </w:r>
      <w:r>
        <w:rPr>
          <w:rFonts w:hint="eastAsia" w:ascii="宋体" w:hAnsi="宋体" w:cs="宋体"/>
          <w:kern w:val="0"/>
          <w:sz w:val="24"/>
          <w:szCs w:val="24"/>
        </w:rPr>
        <w:t>售后服务、标准附件、备品备件、专用工具、安装、调试、税金、检验、培训、技术服务、运至最终目的地的运费、</w:t>
      </w:r>
      <w:r>
        <w:rPr>
          <w:rFonts w:hint="eastAsia" w:ascii="宋体" w:hAnsi="宋体" w:cs="宋体"/>
          <w:kern w:val="0"/>
          <w:sz w:val="24"/>
          <w:szCs w:val="24"/>
          <w:lang w:eastAsia="zh-CN"/>
        </w:rPr>
        <w:t>运输</w:t>
      </w:r>
      <w:r>
        <w:rPr>
          <w:rFonts w:hint="eastAsia" w:ascii="宋体" w:hAnsi="宋体" w:cs="宋体"/>
          <w:kern w:val="0"/>
          <w:sz w:val="24"/>
          <w:szCs w:val="24"/>
        </w:rPr>
        <w:t>保险费、人工费等完成本项目所需的一切相关费用。具体以实际发生量据实结算。</w:t>
      </w:r>
    </w:p>
    <w:p w14:paraId="6E832B3C">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w:t>
      </w:r>
      <w:r>
        <w:rPr>
          <w:rFonts w:hint="eastAsia" w:asciiTheme="minorEastAsia" w:hAnsiTheme="minorEastAsia" w:eastAsiaTheme="minorEastAsia" w:cstheme="minorEastAsia"/>
          <w:b/>
          <w:bCs/>
          <w:color w:val="auto"/>
          <w:sz w:val="24"/>
          <w:szCs w:val="24"/>
          <w:highlight w:val="none"/>
        </w:rPr>
        <w:t>售后服务要求</w:t>
      </w:r>
    </w:p>
    <w:p w14:paraId="4AC6CDA2">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firstLine="360" w:firstLineChars="150"/>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eastAsia="zh-CN"/>
        </w:rPr>
        <w:t>）服务期限：</w:t>
      </w:r>
      <w:r>
        <w:rPr>
          <w:rFonts w:hint="eastAsia" w:asciiTheme="minorEastAsia" w:hAnsiTheme="minorEastAsia" w:eastAsiaTheme="minorEastAsia" w:cstheme="minorEastAsia"/>
          <w:color w:val="auto"/>
          <w:sz w:val="24"/>
          <w:highlight w:val="none"/>
          <w:lang w:val="en-US" w:eastAsia="zh-CN"/>
        </w:rPr>
        <w:t>投标人</w:t>
      </w:r>
      <w:r>
        <w:rPr>
          <w:rFonts w:hint="eastAsia" w:asciiTheme="minorEastAsia" w:hAnsiTheme="minorEastAsia" w:eastAsiaTheme="minorEastAsia" w:cstheme="minorEastAsia"/>
          <w:color w:val="auto"/>
          <w:sz w:val="24"/>
          <w:szCs w:val="24"/>
          <w:highlight w:val="none"/>
          <w:lang w:eastAsia="zh-CN"/>
        </w:rPr>
        <w:t>所投货物必须为全新的、符合国家有关质量标准的产品；所供产品质量保证期为</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年（相关标准大于</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年的，按相</w:t>
      </w:r>
      <w:r>
        <w:rPr>
          <w:rFonts w:hint="eastAsia" w:asciiTheme="minorEastAsia" w:hAnsiTheme="minorEastAsia" w:eastAsiaTheme="minorEastAsia" w:cstheme="minorEastAsia"/>
          <w:color w:val="auto"/>
          <w:sz w:val="24"/>
          <w:szCs w:val="24"/>
          <w:highlight w:val="none"/>
          <w:u w:val="none"/>
          <w:lang w:eastAsia="zh-CN"/>
        </w:rPr>
        <w:t>关标准执行）。</w:t>
      </w:r>
    </w:p>
    <w:p w14:paraId="3604C17D">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firstLine="360" w:firstLineChars="1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u w:val="none"/>
          <w:lang w:eastAsia="zh-CN"/>
        </w:rPr>
        <w:t>（</w:t>
      </w:r>
      <w:r>
        <w:rPr>
          <w:rFonts w:hint="eastAsia" w:asciiTheme="minorEastAsia" w:hAnsiTheme="minorEastAsia" w:eastAsiaTheme="minorEastAsia" w:cstheme="minorEastAsia"/>
          <w:color w:val="auto"/>
          <w:sz w:val="24"/>
          <w:szCs w:val="28"/>
          <w:highlight w:val="none"/>
          <w:u w:val="none"/>
          <w:lang w:val="en-US" w:eastAsia="zh-CN"/>
        </w:rPr>
        <w:t>2</w:t>
      </w:r>
      <w:r>
        <w:rPr>
          <w:rFonts w:hint="eastAsia" w:asciiTheme="minorEastAsia" w:hAnsiTheme="minorEastAsia" w:eastAsiaTheme="minorEastAsia" w:cstheme="minorEastAsia"/>
          <w:color w:val="auto"/>
          <w:sz w:val="24"/>
          <w:szCs w:val="28"/>
          <w:highlight w:val="none"/>
          <w:u w:val="none"/>
          <w:lang w:eastAsia="zh-CN"/>
        </w:rPr>
        <w:t>）</w:t>
      </w:r>
      <w:r>
        <w:rPr>
          <w:rFonts w:hint="eastAsia" w:asciiTheme="minorEastAsia" w:hAnsiTheme="minorEastAsia" w:eastAsiaTheme="minorEastAsia" w:cstheme="minorEastAsia"/>
          <w:color w:val="auto"/>
          <w:sz w:val="24"/>
          <w:szCs w:val="28"/>
          <w:highlight w:val="none"/>
          <w:u w:val="none"/>
        </w:rPr>
        <w:t>质量保证期自采购人（或其授权</w:t>
      </w:r>
      <w:r>
        <w:rPr>
          <w:rFonts w:hint="eastAsia" w:asciiTheme="minorEastAsia" w:hAnsiTheme="minorEastAsia" w:eastAsiaTheme="minorEastAsia" w:cstheme="minorEastAsia"/>
          <w:color w:val="auto"/>
          <w:sz w:val="24"/>
          <w:szCs w:val="28"/>
          <w:highlight w:val="none"/>
        </w:rPr>
        <w:t>代表）在验收报告上签署“验收合格”之日起计算；质量保证期内免费维修更换配件。</w:t>
      </w:r>
    </w:p>
    <w:p w14:paraId="7516966F">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firstLine="360" w:firstLineChars="1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在质量保证期内，</w:t>
      </w:r>
      <w:r>
        <w:rPr>
          <w:rFonts w:hint="eastAsia" w:asciiTheme="minorEastAsia" w:hAnsiTheme="minorEastAsia" w:eastAsiaTheme="minorEastAsia" w:cstheme="minorEastAsia"/>
          <w:color w:val="auto"/>
          <w:sz w:val="24"/>
          <w:szCs w:val="28"/>
          <w:highlight w:val="none"/>
          <w:lang w:eastAsia="zh-CN"/>
        </w:rPr>
        <w:t>投标人</w:t>
      </w:r>
      <w:r>
        <w:rPr>
          <w:rFonts w:hint="eastAsia" w:asciiTheme="minorEastAsia" w:hAnsiTheme="minorEastAsia" w:eastAsiaTheme="minorEastAsia" w:cstheme="minorEastAsia"/>
          <w:color w:val="auto"/>
          <w:sz w:val="24"/>
          <w:szCs w:val="28"/>
          <w:highlight w:val="none"/>
        </w:rPr>
        <w:t>应常备所供货物的备品备件，接到故障通知后</w:t>
      </w: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rPr>
        <w:t>24小时</w:t>
      </w:r>
      <w:r>
        <w:rPr>
          <w:rFonts w:hint="eastAsia" w:asciiTheme="minorEastAsia" w:hAnsiTheme="minorEastAsia" w:eastAsiaTheme="minorEastAsia" w:cstheme="minorEastAsia"/>
          <w:color w:val="auto"/>
          <w:sz w:val="24"/>
          <w:szCs w:val="28"/>
          <w:highlight w:val="none"/>
          <w:lang w:bidi="en-US"/>
        </w:rPr>
        <w:t>响应免费维修或更换，由此发生的费用（非人为损坏）由成交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承担。质量保修期内所有货物保修服务方式均为成交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上门保修，即由成交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或原厂家派员到使用现场维修。由此产生的一切费用均由成交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承担。</w:t>
      </w:r>
    </w:p>
    <w:p w14:paraId="2E5C0F7D">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spacing w:val="4"/>
          <w:kern w:val="2"/>
          <w:sz w:val="24"/>
          <w:szCs w:val="24"/>
          <w:highlight w:val="none"/>
          <w:lang w:val="en-US" w:eastAsia="zh-CN" w:bidi="ar-SA"/>
        </w:rPr>
      </w:pPr>
      <w:r>
        <w:rPr>
          <w:rFonts w:hint="eastAsia" w:asciiTheme="minorEastAsia" w:hAnsiTheme="minorEastAsia" w:eastAsiaTheme="minorEastAsia" w:cstheme="minorEastAsia"/>
          <w:b/>
          <w:bCs/>
          <w:color w:val="auto"/>
          <w:spacing w:val="4"/>
          <w:kern w:val="2"/>
          <w:sz w:val="24"/>
          <w:szCs w:val="24"/>
          <w:highlight w:val="none"/>
          <w:lang w:val="en-US" w:eastAsia="zh-CN" w:bidi="ar-SA"/>
        </w:rPr>
        <w:t>6、交货包装：</w:t>
      </w:r>
    </w:p>
    <w:p w14:paraId="107014D2">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1）投标人提供的全部货物均应按标准保护措施进行包装，这类包装应适应于远距离运输、防潮、防震、防锈和防野蛮装卸，以确保货物安全无损运抵指定现场。由于包装不善所引起的货物锈蚀、损坏和损失均由投标人负责。</w:t>
      </w:r>
    </w:p>
    <w:p w14:paraId="23724631">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（2）投标人交货时，须提供设备的全部资料，如产品合格证、装箱单、使用说明书、易损件清单、备品备件清单、出厂检验报告、质量保证书、产品现行完好标准、标准操作规程、维护保养规程等等。</w:t>
      </w:r>
    </w:p>
    <w:p w14:paraId="09B80AF7">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（3）投标人提供的全部货物所有附件必须都配备齐全，所供货设备外包箱注明用户信息，原厂设备完整，不得折封，以上参数如有不符直接退货。</w:t>
      </w:r>
    </w:p>
    <w:p w14:paraId="45316891">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4）如果投标人没有按照合同规定或采购人同意延长的时间交货，每延期一天，按合同总金额的1‰交付违约金；如果投标人在达到最高限额（合同总额5%）后仍不能交付的，采购人可终止合同，因此产生的一切经济损失由投标人承担；因质量问题延期交付设备时，按延期交付产品处理。</w:t>
      </w:r>
    </w:p>
    <w:p w14:paraId="633294ED">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sz w:val="24"/>
          <w:szCs w:val="24"/>
          <w:highlight w:val="none"/>
          <w:lang w:val="zh-CN"/>
        </w:rPr>
      </w:pPr>
      <w:r>
        <w:rPr>
          <w:rFonts w:hint="eastAsia" w:asciiTheme="minorEastAsia" w:hAnsiTheme="minorEastAsia" w:eastAsiaTheme="minorEastAsia" w:cstheme="minorEastAsia"/>
          <w:b/>
          <w:bCs/>
          <w:color w:val="auto"/>
          <w:sz w:val="24"/>
          <w:szCs w:val="24"/>
          <w:highlight w:val="none"/>
          <w:lang w:val="en-US" w:eastAsia="zh-CN"/>
        </w:rPr>
        <w:t>7、</w:t>
      </w:r>
      <w:r>
        <w:rPr>
          <w:rFonts w:hint="eastAsia" w:asciiTheme="minorEastAsia" w:hAnsiTheme="minorEastAsia" w:eastAsiaTheme="minorEastAsia" w:cstheme="minorEastAsia"/>
          <w:b/>
          <w:bCs/>
          <w:color w:val="auto"/>
          <w:sz w:val="24"/>
          <w:szCs w:val="24"/>
          <w:highlight w:val="none"/>
          <w:lang w:val="zh-CN"/>
        </w:rPr>
        <w:t>安装、验收</w:t>
      </w:r>
    </w:p>
    <w:p w14:paraId="671B7581">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在交货截止时间（或采购方规定的时间）内交货，有关运输和保险的一切费用由</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承担。所有货物运抵现场并验收合格后的日期为交货日期。</w:t>
      </w:r>
    </w:p>
    <w:p w14:paraId="0D948568">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货物到现场后，采购人（或其授权代表）、</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组织相关人员共同对到货货物的数量、外观、包装质量、技术资料等进行</w:t>
      </w:r>
      <w:r>
        <w:rPr>
          <w:rFonts w:hint="eastAsia" w:asciiTheme="minorEastAsia" w:hAnsiTheme="minorEastAsia" w:eastAsiaTheme="minorEastAsia" w:cstheme="minorEastAsia"/>
          <w:color w:val="auto"/>
          <w:sz w:val="24"/>
          <w:highlight w:val="none"/>
          <w:lang w:val="en-US" w:eastAsia="zh-CN"/>
        </w:rPr>
        <w:t>确认</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
          <w:bCs/>
          <w:color w:val="auto"/>
          <w:sz w:val="24"/>
          <w:highlight w:val="none"/>
        </w:rPr>
        <w:t xml:space="preserve"> </w:t>
      </w:r>
    </w:p>
    <w:p w14:paraId="09557C48">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货物供货完成以后，由采购人或组织技术专家或委托第三方专业机构对货物依照</w:t>
      </w:r>
      <w:r>
        <w:rPr>
          <w:rFonts w:hint="eastAsia" w:asciiTheme="minorEastAsia" w:hAnsiTheme="minorEastAsia" w:eastAsiaTheme="minorEastAsia" w:cstheme="minorEastAsia"/>
          <w:color w:val="auto"/>
          <w:sz w:val="24"/>
          <w:highlight w:val="none"/>
          <w:lang w:val="en-US" w:eastAsia="zh-CN"/>
        </w:rPr>
        <w:t>招标</w:t>
      </w:r>
      <w:r>
        <w:rPr>
          <w:rFonts w:hint="eastAsia" w:asciiTheme="minorEastAsia" w:hAnsiTheme="minorEastAsia" w:eastAsiaTheme="minorEastAsia" w:cstheme="minorEastAsia"/>
          <w:color w:val="auto"/>
          <w:sz w:val="24"/>
          <w:highlight w:val="none"/>
        </w:rPr>
        <w:t>文件上的技术规格要求、以及国家有关标准进行验收；货物性能达到技术要求的，给予</w:t>
      </w:r>
      <w:r>
        <w:rPr>
          <w:rFonts w:hint="eastAsia" w:asciiTheme="minorEastAsia" w:hAnsiTheme="minorEastAsia" w:eastAsiaTheme="minorEastAsia" w:cstheme="minorEastAsia"/>
          <w:color w:val="auto"/>
          <w:sz w:val="24"/>
          <w:highlight w:val="none"/>
          <w:lang w:val="en-US" w:eastAsia="zh-CN"/>
        </w:rPr>
        <w:t>验收通过</w:t>
      </w:r>
      <w:r>
        <w:rPr>
          <w:rFonts w:hint="eastAsia" w:asciiTheme="minorEastAsia" w:hAnsiTheme="minorEastAsia" w:eastAsiaTheme="minorEastAsia" w:cstheme="minorEastAsia"/>
          <w:color w:val="auto"/>
          <w:sz w:val="24"/>
          <w:highlight w:val="none"/>
        </w:rPr>
        <w:t>；验收合格后由采购人（或其授权代表）签署确认验收合格文件（一式四份）；全部技术资料等应当在验收合格后移交用户单位（业主）。验收时如发现货物的质量、性能不符合</w:t>
      </w:r>
      <w:r>
        <w:rPr>
          <w:rFonts w:hint="eastAsia" w:asciiTheme="minorEastAsia" w:hAnsiTheme="minorEastAsia" w:eastAsiaTheme="minorEastAsia" w:cstheme="minorEastAsia"/>
          <w:color w:val="auto"/>
          <w:sz w:val="24"/>
          <w:highlight w:val="none"/>
          <w:lang w:eastAsia="zh-CN"/>
        </w:rPr>
        <w:t>招标文件</w:t>
      </w:r>
      <w:r>
        <w:rPr>
          <w:rFonts w:hint="eastAsia" w:asciiTheme="minorEastAsia" w:hAnsiTheme="minorEastAsia" w:eastAsiaTheme="minorEastAsia" w:cstheme="minorEastAsia"/>
          <w:color w:val="auto"/>
          <w:sz w:val="24"/>
          <w:highlight w:val="none"/>
        </w:rPr>
        <w:t>规定标准的，本项目采购人有权在货物验收时予以拒收；因此产生的一切经济损失由</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承担；</w:t>
      </w:r>
    </w:p>
    <w:p w14:paraId="21381C48">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交付验收标准：依次序对照适用标准为：</w:t>
      </w:r>
    </w:p>
    <w:p w14:paraId="0F570C06">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①符合中华人民共和国国家安全质量标准、环保标准或行业标准；</w:t>
      </w:r>
    </w:p>
    <w:p w14:paraId="4A31CE36">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②符合</w:t>
      </w:r>
      <w:r>
        <w:rPr>
          <w:rFonts w:hint="eastAsia" w:asciiTheme="minorEastAsia" w:hAnsiTheme="minorEastAsia" w:eastAsiaTheme="minorEastAsia" w:cstheme="minorEastAsia"/>
          <w:color w:val="auto"/>
          <w:sz w:val="24"/>
          <w:highlight w:val="none"/>
          <w:lang w:eastAsia="zh-CN"/>
        </w:rPr>
        <w:t>招标</w:t>
      </w:r>
      <w:r>
        <w:rPr>
          <w:rFonts w:hint="eastAsia" w:asciiTheme="minorEastAsia" w:hAnsiTheme="minorEastAsia" w:eastAsiaTheme="minorEastAsia" w:cstheme="minorEastAsia"/>
          <w:color w:val="auto"/>
          <w:sz w:val="24"/>
          <w:highlight w:val="none"/>
        </w:rPr>
        <w:t>文件和投标承诺中采购人认可的合理最佳配置、参数及各项要求；</w:t>
      </w:r>
    </w:p>
    <w:p w14:paraId="1BE733EB">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③货物来源国官方标准。</w:t>
      </w:r>
    </w:p>
    <w:p w14:paraId="52384236">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上述标准必须是有关官方机构发布的最新版本的标准；</w:t>
      </w:r>
    </w:p>
    <w:p w14:paraId="5B8EE590">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须为验收提供必需的设备、工具及其他便利条件；</w:t>
      </w:r>
    </w:p>
    <w:p w14:paraId="08807777">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64" w:firstLineChars="200"/>
        <w:rPr>
          <w:rFonts w:hint="eastAsia" w:asciiTheme="minorEastAsia" w:hAnsiTheme="minorEastAsia" w:eastAsiaTheme="minorEastAsia" w:cstheme="minorEastAsia"/>
          <w:color w:val="auto"/>
          <w:spacing w:val="-4"/>
          <w:sz w:val="24"/>
          <w:highlight w:val="none"/>
        </w:rPr>
      </w:pPr>
      <w:r>
        <w:rPr>
          <w:rFonts w:hint="eastAsia" w:asciiTheme="minorEastAsia" w:hAnsiTheme="minorEastAsia" w:eastAsiaTheme="minorEastAsia" w:cstheme="minorEastAsia"/>
          <w:color w:val="auto"/>
          <w:spacing w:val="-4"/>
          <w:sz w:val="24"/>
          <w:highlight w:val="none"/>
          <w:lang w:eastAsia="zh-CN"/>
        </w:rPr>
        <w:t>（</w:t>
      </w:r>
      <w:r>
        <w:rPr>
          <w:rFonts w:hint="eastAsia" w:asciiTheme="minorEastAsia" w:hAnsiTheme="minorEastAsia" w:eastAsiaTheme="minorEastAsia" w:cstheme="minorEastAsia"/>
          <w:color w:val="auto"/>
          <w:spacing w:val="-4"/>
          <w:sz w:val="24"/>
          <w:highlight w:val="none"/>
          <w:lang w:val="en-US" w:eastAsia="zh-CN"/>
        </w:rPr>
        <w:t>6</w:t>
      </w:r>
      <w:r>
        <w:rPr>
          <w:rFonts w:hint="eastAsia" w:asciiTheme="minorEastAsia" w:hAnsiTheme="minorEastAsia" w:eastAsiaTheme="minorEastAsia" w:cstheme="minorEastAsia"/>
          <w:color w:val="auto"/>
          <w:spacing w:val="-4"/>
          <w:sz w:val="24"/>
          <w:highlight w:val="none"/>
          <w:lang w:eastAsia="zh-CN"/>
        </w:rPr>
        <w:t>）</w:t>
      </w:r>
      <w:r>
        <w:rPr>
          <w:rFonts w:hint="eastAsia" w:asciiTheme="minorEastAsia" w:hAnsiTheme="minorEastAsia" w:eastAsiaTheme="minorEastAsia" w:cstheme="minorEastAsia"/>
          <w:color w:val="auto"/>
          <w:spacing w:val="-4"/>
          <w:sz w:val="24"/>
          <w:highlight w:val="none"/>
        </w:rPr>
        <w:t>在验收过程中发现数量不足或有质量、技术等问题，</w:t>
      </w:r>
      <w:r>
        <w:rPr>
          <w:rFonts w:hint="eastAsia" w:asciiTheme="minorEastAsia" w:hAnsiTheme="minorEastAsia" w:eastAsiaTheme="minorEastAsia" w:cstheme="minorEastAsia"/>
          <w:color w:val="auto"/>
          <w:spacing w:val="-4"/>
          <w:sz w:val="24"/>
          <w:highlight w:val="none"/>
          <w:lang w:eastAsia="zh-CN"/>
        </w:rPr>
        <w:t>投标人</w:t>
      </w:r>
      <w:r>
        <w:rPr>
          <w:rFonts w:hint="eastAsia" w:asciiTheme="minorEastAsia" w:hAnsiTheme="minorEastAsia" w:eastAsiaTheme="minorEastAsia" w:cstheme="minorEastAsia"/>
          <w:color w:val="auto"/>
          <w:spacing w:val="-4"/>
          <w:sz w:val="24"/>
          <w:highlight w:val="none"/>
        </w:rPr>
        <w:t>应负责按照采购人的要求采取补足、更换或退货等措施妥善处理，并承担由此发生的一切费用和损失；</w:t>
      </w:r>
    </w:p>
    <w:p w14:paraId="4B737F40">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对于不合格的货物，</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必须在7个工作日里及时完成更换并重新对更换货物进行验收。</w:t>
      </w:r>
    </w:p>
    <w:p w14:paraId="0BFD6CD6">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kern w:val="0"/>
          <w:sz w:val="24"/>
          <w:szCs w:val="24"/>
          <w:highlight w:val="none"/>
          <w:vertAlign w:val="baseline"/>
          <w:lang w:val="zh-CN" w:eastAsia="zh-CN" w:bidi="ar"/>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8、</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其它要求</w:t>
      </w:r>
    </w:p>
    <w:p w14:paraId="2C5AE1F0">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（1）</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成交投标人应保证采购人在使用成交投标人所提供的服务时，免受第三方提出的侵犯其专利权、商标权的起诉；如果任何第三方提出侵权指控，成交投标人承担一切与之有关的责任。</w:t>
      </w:r>
    </w:p>
    <w:p w14:paraId="1D215A62">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（2）</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成交投标人在服务期内存在以下情况，采购人有权终止服务并更换投标人，且不再对其进行业务委托：</w:t>
      </w:r>
    </w:p>
    <w:p w14:paraId="45EBA2A4">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①在响应中有故意隐瞒与响应文件中不符的重大事实的。</w:t>
      </w:r>
    </w:p>
    <w:p w14:paraId="69C7FB35">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②未经批准将所中标业务再转包或分包给其它供应商的。</w:t>
      </w:r>
    </w:p>
    <w:p w14:paraId="2DC129BE">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③在为本项目服务工作中与企业串通、违反职业道德的。</w:t>
      </w:r>
    </w:p>
    <w:p w14:paraId="352693AB">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④未能保证服务质量的。</w:t>
      </w:r>
    </w:p>
    <w:p w14:paraId="422094F4">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⑤严重违反保密承诺的。</w:t>
      </w:r>
    </w:p>
    <w:p w14:paraId="4AD39E93">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（3）</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投标人应该认真咨询、实地勘察，了解标的现状，并仔细阅读本次采购所提供的相关资料及特别规定。投标人参加投标，即表明投标人对标的的情况和特别规定的认可，投标成功后不得以未咨询或对标的不了解而提出异议或反悔。</w:t>
      </w:r>
    </w:p>
    <w:p w14:paraId="7BEA857B">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4</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投标人应保证其提供的服务不违反关法律、行政法规的规定。</w:t>
      </w:r>
    </w:p>
    <w:p w14:paraId="0376D371">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5</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成交投标人在履行合同期间，应对成交投标人（或其雇佣人员）的疏忽、故意或过失而造成采购人的直接或间接损失、第三者的财产损失及安全责任事故等负责，并承担相应费用。</w:t>
      </w:r>
    </w:p>
    <w:p w14:paraId="0D22B367">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6</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本项目采购服务、设备对应的固定资产和无形资产，产权及所有权均属采购人。</w:t>
      </w:r>
    </w:p>
    <w:p w14:paraId="553EE0E6">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7</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）其他未尽事宜可在合同中约定</w:t>
      </w:r>
    </w:p>
    <w:p w14:paraId="1B84268F">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pP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注：以上项目清单及技术要求、商务条款为必须满足项，否则作无效响应处理。</w:t>
      </w:r>
    </w:p>
    <w:p w14:paraId="61CB0632">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lang w:eastAsia="zh-CN"/>
        </w:rPr>
      </w:pPr>
    </w:p>
    <w:p w14:paraId="12197EC3">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lang w:eastAsia="zh-CN"/>
        </w:rPr>
      </w:pPr>
    </w:p>
    <w:p w14:paraId="2ABAED06">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sz w:val="24"/>
          <w:szCs w:val="24"/>
          <w:lang w:eastAsia="zh-CN"/>
        </w:rPr>
      </w:pPr>
    </w:p>
    <w:p w14:paraId="1904EE6C">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lang w:eastAsia="zh-CN"/>
        </w:rPr>
      </w:pPr>
    </w:p>
    <w:p w14:paraId="66E92502">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lang w:eastAsia="zh-CN"/>
        </w:rPr>
      </w:pPr>
    </w:p>
    <w:p w14:paraId="6F51CFA2">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sz w:val="24"/>
          <w:szCs w:val="24"/>
          <w:lang w:eastAsia="zh-CN"/>
        </w:rPr>
        <w:sectPr>
          <w:headerReference r:id="rId3" w:type="default"/>
          <w:footerReference r:id="rId4" w:type="default"/>
          <w:pgSz w:w="11906" w:h="16839"/>
          <w:pgMar w:top="1134" w:right="1134" w:bottom="1134" w:left="1134" w:header="0" w:footer="994" w:gutter="0"/>
          <w:pgBorders>
            <w:top w:val="none" w:sz="0" w:space="0"/>
            <w:left w:val="none" w:sz="0" w:space="0"/>
            <w:bottom w:val="none" w:sz="0" w:space="0"/>
            <w:right w:val="none" w:sz="0" w:space="0"/>
          </w:pgBorders>
          <w:cols w:space="720" w:num="1"/>
        </w:sectPr>
      </w:pPr>
    </w:p>
    <w:p w14:paraId="21BDD746">
      <w:pPr>
        <w:keepNext w:val="0"/>
        <w:keepLines w:val="0"/>
        <w:pageBreakBefore w:val="0"/>
        <w:widowControl w:val="0"/>
        <w:wordWrap/>
        <w:overflowPunct/>
        <w:topLinePunct w:val="0"/>
        <w:bidi w:val="0"/>
        <w:spacing w:beforeAutospacing="0" w:line="360" w:lineRule="auto"/>
        <w:ind w:left="5052" w:leftChars="0" w:right="0" w:rightChars="0" w:hanging="5052" w:hangingChars="1599"/>
        <w:jc w:val="center"/>
        <w:outlineLvl w:val="0"/>
        <w:rPr>
          <w:rFonts w:hint="eastAsia" w:asciiTheme="minorEastAsia" w:hAnsiTheme="minorEastAsia" w:eastAsiaTheme="minorEastAsia" w:cstheme="minorEastAsia"/>
          <w:color w:val="auto"/>
          <w:spacing w:val="8"/>
          <w:sz w:val="30"/>
          <w:szCs w:val="30"/>
          <w:highlight w:val="none"/>
          <w:lang w:val="en-US" w:eastAsia="zh-CN"/>
          <w14:textOutline w14:w="5791" w14:cap="sq" w14:cmpd="sng" w14:algn="ctr">
            <w14:solidFill>
              <w14:srgbClr w14:val="000000"/>
            </w14:solidFill>
            <w14:prstDash w14:val="solid"/>
            <w14:bevel/>
          </w14:textOutline>
        </w:rPr>
      </w:pPr>
      <w:bookmarkStart w:id="0" w:name="_Toc12696"/>
      <w:r>
        <w:rPr>
          <w:rFonts w:hint="eastAsia" w:asciiTheme="minorEastAsia" w:hAnsiTheme="minorEastAsia" w:eastAsiaTheme="minorEastAsia" w:cstheme="minorEastAsia"/>
          <w:color w:val="auto"/>
          <w:spacing w:val="8"/>
          <w:sz w:val="30"/>
          <w:szCs w:val="30"/>
          <w:highlight w:val="none"/>
          <w:lang w:val="en-US" w:eastAsia="zh-CN"/>
          <w14:textOutline w14:w="5791" w14:cap="sq" w14:cmpd="sng" w14:algn="ctr">
            <w14:solidFill>
              <w14:srgbClr w14:val="000000"/>
            </w14:solidFill>
            <w14:prstDash w14:val="solid"/>
            <w14:bevel/>
          </w14:textOutline>
        </w:rPr>
        <w:t>第六章</w:t>
      </w:r>
      <w:bookmarkStart w:id="1" w:name="_Toc29595"/>
      <w:bookmarkStart w:id="2" w:name="_Toc26056"/>
      <w:r>
        <w:rPr>
          <w:rFonts w:hint="eastAsia" w:ascii="宋体" w:hAnsi="宋体" w:eastAsia="宋体" w:cs="宋体"/>
          <w:color w:val="auto"/>
          <w:spacing w:val="0"/>
          <w:w w:val="100"/>
          <w:position w:val="0"/>
          <w:sz w:val="31"/>
          <w:szCs w:val="31"/>
          <w:lang w:eastAsia="zh-CN"/>
        </w:rPr>
        <w:t xml:space="preserve">  </w:t>
      </w:r>
      <w:r>
        <w:rPr>
          <w:rFonts w:hint="eastAsia" w:asciiTheme="minorEastAsia" w:hAnsiTheme="minorEastAsia" w:eastAsiaTheme="minorEastAsia" w:cstheme="minorEastAsia"/>
          <w:color w:val="auto"/>
          <w:spacing w:val="8"/>
          <w:sz w:val="30"/>
          <w:szCs w:val="30"/>
          <w:highlight w:val="none"/>
          <w:lang w:val="en-US" w:eastAsia="zh-CN"/>
          <w14:textOutline w14:w="5791" w14:cap="sq" w14:cmpd="sng" w14:algn="ctr">
            <w14:solidFill>
              <w14:srgbClr w14:val="000000"/>
            </w14:solidFill>
            <w14:prstDash w14:val="solid"/>
            <w14:bevel/>
          </w14:textOutline>
        </w:rPr>
        <w:t>评标方法</w:t>
      </w:r>
      <w:bookmarkEnd w:id="0"/>
      <w:bookmarkEnd w:id="1"/>
      <w:bookmarkEnd w:id="2"/>
    </w:p>
    <w:p w14:paraId="4710B72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Autospacing="0" w:line="360" w:lineRule="auto"/>
        <w:ind w:left="0" w:leftChars="0" w:right="0" w:rightChars="0"/>
        <w:textAlignment w:val="baseline"/>
        <w:outlineLvl w:val="1"/>
        <w:rPr>
          <w:rFonts w:hint="eastAsia" w:ascii="宋体" w:hAnsi="宋体" w:eastAsia="宋体" w:cs="宋体"/>
          <w:b/>
          <w:bCs/>
          <w:color w:val="auto"/>
          <w:spacing w:val="0"/>
          <w:w w:val="100"/>
          <w:position w:val="0"/>
          <w:sz w:val="28"/>
          <w:szCs w:val="28"/>
          <w:lang w:val="en-US" w:eastAsia="zh-CN"/>
        </w:rPr>
      </w:pPr>
      <w:bookmarkStart w:id="3" w:name="_Toc9080"/>
      <w:bookmarkStart w:id="4" w:name="_Toc29344"/>
      <w:bookmarkStart w:id="5" w:name="_Toc8134"/>
      <w:r>
        <w:rPr>
          <w:rFonts w:hint="eastAsia" w:ascii="宋体" w:hAnsi="宋体" w:eastAsia="宋体" w:cs="宋体"/>
          <w:b/>
          <w:bCs/>
          <w:color w:val="auto"/>
          <w:spacing w:val="0"/>
          <w:w w:val="100"/>
          <w:position w:val="0"/>
          <w:sz w:val="28"/>
          <w:szCs w:val="28"/>
          <w:lang w:val="en-US" w:eastAsia="zh-CN"/>
        </w:rPr>
        <w:t>评分标准</w:t>
      </w:r>
      <w:bookmarkEnd w:id="3"/>
      <w:bookmarkEnd w:id="4"/>
      <w:bookmarkEnd w:id="5"/>
    </w:p>
    <w:p w14:paraId="7440F7D5">
      <w:pPr>
        <w:keepNext w:val="0"/>
        <w:keepLines w:val="0"/>
        <w:pageBreakBefore w:val="0"/>
        <w:widowControl w:val="0"/>
        <w:wordWrap/>
        <w:overflowPunct/>
        <w:topLinePunct w:val="0"/>
        <w:bidi w:val="0"/>
        <w:spacing w:line="360" w:lineRule="auto"/>
        <w:ind w:left="0" w:leftChars="0" w:right="0" w:rightChars="0" w:firstLine="480" w:firstLineChars="200"/>
        <w:textAlignment w:val="center"/>
        <w:rPr>
          <w:rFonts w:hint="eastAsia" w:ascii="宋体" w:hAnsi="宋体" w:eastAsia="宋体" w:cs="宋体"/>
          <w:color w:val="auto"/>
          <w:spacing w:val="0"/>
          <w:w w:val="100"/>
          <w:kern w:val="0"/>
          <w:position w:val="0"/>
          <w:sz w:val="24"/>
          <w:szCs w:val="24"/>
          <w:lang w:val="en-US" w:eastAsia="zh-CN" w:bidi="ar"/>
        </w:rPr>
      </w:pPr>
      <w:r>
        <w:rPr>
          <w:rFonts w:hint="eastAsia" w:ascii="宋体" w:hAnsi="宋体" w:eastAsia="宋体" w:cs="宋体"/>
          <w:color w:val="auto"/>
          <w:spacing w:val="0"/>
          <w:w w:val="100"/>
          <w:kern w:val="0"/>
          <w:position w:val="0"/>
          <w:sz w:val="24"/>
          <w:szCs w:val="24"/>
          <w:lang w:eastAsia="zh-CN" w:bidi="ar"/>
        </w:rPr>
        <w:t>☑</w:t>
      </w:r>
      <w:r>
        <w:rPr>
          <w:rFonts w:hint="eastAsia" w:ascii="宋体" w:hAnsi="宋体" w:eastAsia="宋体" w:cs="宋体"/>
          <w:color w:val="auto"/>
          <w:spacing w:val="0"/>
          <w:w w:val="100"/>
          <w:kern w:val="0"/>
          <w:position w:val="0"/>
          <w:sz w:val="24"/>
          <w:szCs w:val="24"/>
          <w:lang w:val="en-US" w:eastAsia="zh-CN" w:bidi="ar"/>
        </w:rPr>
        <w:t xml:space="preserve"> </w:t>
      </w:r>
      <w:r>
        <w:rPr>
          <w:rFonts w:hint="eastAsia" w:ascii="宋体" w:hAnsi="宋体" w:eastAsia="宋体" w:cs="宋体"/>
          <w:color w:val="auto"/>
          <w:spacing w:val="0"/>
          <w:w w:val="100"/>
          <w:kern w:val="0"/>
          <w:position w:val="0"/>
          <w:sz w:val="24"/>
          <w:szCs w:val="24"/>
          <w:lang w:bidi="ar"/>
        </w:rPr>
        <w:t>采用综合评分法</w:t>
      </w:r>
      <w:r>
        <w:rPr>
          <w:rFonts w:hint="eastAsia" w:ascii="宋体" w:hAnsi="宋体" w:eastAsia="宋体" w:cs="宋体"/>
          <w:color w:val="auto"/>
          <w:spacing w:val="0"/>
          <w:w w:val="100"/>
          <w:kern w:val="0"/>
          <w:position w:val="0"/>
          <w:sz w:val="24"/>
          <w:szCs w:val="24"/>
          <w:lang w:eastAsia="zh-CN" w:bidi="ar"/>
        </w:rPr>
        <w:t>（</w:t>
      </w:r>
      <w:r>
        <w:rPr>
          <w:rFonts w:hint="eastAsia" w:ascii="宋体" w:hAnsi="宋体" w:eastAsia="宋体" w:cs="宋体"/>
          <w:color w:val="auto"/>
          <w:sz w:val="24"/>
          <w:highlight w:val="none"/>
        </w:rPr>
        <w:t>总分</w:t>
      </w:r>
      <w:r>
        <w:rPr>
          <w:rFonts w:hint="eastAsia" w:ascii="宋体" w:hAnsi="宋体" w:eastAsia="宋体" w:cs="宋体"/>
          <w:color w:val="auto"/>
          <w:spacing w:val="0"/>
          <w:w w:val="100"/>
          <w:kern w:val="0"/>
          <w:position w:val="0"/>
          <w:sz w:val="24"/>
          <w:szCs w:val="24"/>
          <w:lang w:val="en-US" w:eastAsia="zh-CN" w:bidi="ar"/>
        </w:rPr>
        <w:t>50分</w:t>
      </w:r>
      <w:r>
        <w:rPr>
          <w:rFonts w:hint="eastAsia" w:ascii="宋体" w:hAnsi="宋体" w:eastAsia="宋体" w:cs="宋体"/>
          <w:color w:val="auto"/>
          <w:spacing w:val="0"/>
          <w:w w:val="100"/>
          <w:kern w:val="0"/>
          <w:position w:val="0"/>
          <w:sz w:val="24"/>
          <w:szCs w:val="24"/>
          <w:lang w:eastAsia="zh-CN" w:bidi="ar"/>
        </w:rPr>
        <w:t>）</w:t>
      </w:r>
      <w:r>
        <w:rPr>
          <w:rFonts w:hint="eastAsia" w:ascii="宋体" w:hAnsi="宋体" w:eastAsia="宋体" w:cs="宋体"/>
          <w:color w:val="auto"/>
          <w:spacing w:val="0"/>
          <w:w w:val="100"/>
          <w:kern w:val="0"/>
          <w:position w:val="0"/>
          <w:sz w:val="24"/>
          <w:szCs w:val="24"/>
          <w:lang w:bidi="ar"/>
        </w:rPr>
        <w:t>，由</w:t>
      </w:r>
      <w:bookmarkStart w:id="6" w:name="_Hlk99230513"/>
      <w:r>
        <w:rPr>
          <w:rFonts w:hint="eastAsia" w:ascii="宋体" w:hAnsi="宋体" w:eastAsia="宋体" w:cs="宋体"/>
          <w:color w:val="auto"/>
          <w:spacing w:val="0"/>
          <w:w w:val="100"/>
          <w:kern w:val="0"/>
          <w:position w:val="0"/>
          <w:sz w:val="24"/>
          <w:szCs w:val="24"/>
          <w:lang w:bidi="ar"/>
        </w:rPr>
        <w:t>评标</w:t>
      </w:r>
      <w:bookmarkEnd w:id="6"/>
      <w:r>
        <w:rPr>
          <w:rFonts w:hint="eastAsia" w:ascii="宋体" w:hAnsi="宋体" w:eastAsia="宋体" w:cs="宋体"/>
          <w:color w:val="auto"/>
          <w:spacing w:val="0"/>
          <w:w w:val="100"/>
          <w:kern w:val="0"/>
          <w:position w:val="0"/>
          <w:sz w:val="24"/>
          <w:szCs w:val="24"/>
          <w:lang w:bidi="ar"/>
        </w:rPr>
        <w:t>委员会按照以下评审内容，对资格性和符合性审查合格的投标文件进行价格、技术和商务综合比较与评价。</w:t>
      </w:r>
      <w:r>
        <w:rPr>
          <w:rFonts w:hint="eastAsia" w:ascii="宋体" w:hAnsi="宋体" w:eastAsia="宋体" w:cs="宋体"/>
          <w:color w:val="auto"/>
          <w:spacing w:val="0"/>
          <w:w w:val="100"/>
          <w:kern w:val="0"/>
          <w:position w:val="0"/>
          <w:sz w:val="24"/>
          <w:szCs w:val="24"/>
          <w:lang w:val="en-US" w:eastAsia="zh-CN" w:bidi="ar"/>
        </w:rPr>
        <w:t>投标文件满足招标文件全部实质性要求，且按照评审因素的量化指标评审得分最高的投标人为中标候选人。</w:t>
      </w:r>
    </w:p>
    <w:tbl>
      <w:tblPr>
        <w:tblStyle w:val="18"/>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7636"/>
        <w:gridCol w:w="930"/>
      </w:tblGrid>
      <w:tr w14:paraId="0AD4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757765E3">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color w:val="auto"/>
                <w:spacing w:val="0"/>
                <w:w w:val="100"/>
                <w:kern w:val="0"/>
                <w:position w:val="0"/>
                <w:sz w:val="24"/>
                <w:szCs w:val="24"/>
                <w:lang w:eastAsia="zh-CN"/>
              </w:rPr>
            </w:pPr>
            <w:r>
              <w:rPr>
                <w:rFonts w:hint="eastAsia" w:ascii="宋体" w:hAnsi="宋体" w:eastAsia="宋体" w:cs="宋体"/>
                <w:b/>
                <w:color w:val="auto"/>
                <w:spacing w:val="0"/>
                <w:w w:val="100"/>
                <w:kern w:val="0"/>
                <w:position w:val="0"/>
                <w:sz w:val="24"/>
                <w:szCs w:val="24"/>
              </w:rPr>
              <w:t>（一）价格部分（</w:t>
            </w:r>
            <w:r>
              <w:rPr>
                <w:rFonts w:hint="eastAsia" w:ascii="宋体" w:hAnsi="宋体" w:eastAsia="宋体" w:cs="宋体"/>
                <w:b/>
                <w:color w:val="auto"/>
                <w:spacing w:val="0"/>
                <w:w w:val="100"/>
                <w:kern w:val="0"/>
                <w:position w:val="0"/>
                <w:sz w:val="24"/>
                <w:szCs w:val="24"/>
                <w:lang w:val="en-US" w:eastAsia="zh-CN"/>
              </w:rPr>
              <w:t>15分</w:t>
            </w:r>
            <w:r>
              <w:rPr>
                <w:rFonts w:hint="eastAsia" w:ascii="宋体" w:hAnsi="宋体" w:eastAsia="宋体" w:cs="宋体"/>
                <w:b/>
                <w:color w:val="auto"/>
                <w:spacing w:val="0"/>
                <w:w w:val="100"/>
                <w:kern w:val="0"/>
                <w:position w:val="0"/>
                <w:sz w:val="24"/>
                <w:szCs w:val="24"/>
              </w:rPr>
              <w:t>）</w:t>
            </w:r>
          </w:p>
        </w:tc>
      </w:tr>
      <w:tr w14:paraId="3D4D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BCC288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Cs/>
                <w:color w:val="auto"/>
                <w:spacing w:val="0"/>
                <w:w w:val="100"/>
                <w:kern w:val="0"/>
                <w:position w:val="0"/>
                <w:sz w:val="24"/>
                <w:szCs w:val="24"/>
              </w:rPr>
            </w:pPr>
            <w:r>
              <w:rPr>
                <w:rFonts w:hint="eastAsia" w:ascii="宋体" w:hAnsi="宋体" w:eastAsia="宋体" w:cs="宋体"/>
                <w:b/>
                <w:color w:val="auto"/>
                <w:spacing w:val="0"/>
                <w:w w:val="100"/>
                <w:kern w:val="0"/>
                <w:position w:val="0"/>
                <w:sz w:val="24"/>
                <w:szCs w:val="24"/>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2DD8EA0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361" w:firstLineChars="150"/>
              <w:jc w:val="center"/>
              <w:rPr>
                <w:rFonts w:hint="eastAsia" w:ascii="宋体" w:hAnsi="宋体" w:eastAsia="宋体" w:cs="宋体"/>
                <w:b/>
                <w:bCs/>
                <w:color w:val="auto"/>
                <w:spacing w:val="0"/>
                <w:w w:val="100"/>
                <w:position w:val="0"/>
                <w:sz w:val="24"/>
                <w:szCs w:val="24"/>
              </w:rPr>
            </w:pPr>
            <w:r>
              <w:rPr>
                <w:rFonts w:hint="eastAsia" w:ascii="宋体" w:hAnsi="宋体" w:eastAsia="宋体" w:cs="宋体"/>
                <w:b/>
                <w:color w:val="auto"/>
                <w:spacing w:val="0"/>
                <w:w w:val="100"/>
                <w:kern w:val="0"/>
                <w:position w:val="0"/>
                <w:sz w:val="24"/>
                <w:szCs w:val="24"/>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2C2A205">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Cs/>
                <w:color w:val="auto"/>
                <w:spacing w:val="0"/>
                <w:w w:val="100"/>
                <w:kern w:val="0"/>
                <w:position w:val="0"/>
                <w:sz w:val="24"/>
                <w:szCs w:val="24"/>
              </w:rPr>
            </w:pPr>
            <w:r>
              <w:rPr>
                <w:rFonts w:hint="eastAsia" w:ascii="宋体" w:hAnsi="宋体" w:eastAsia="宋体" w:cs="宋体"/>
                <w:b/>
                <w:color w:val="auto"/>
                <w:spacing w:val="0"/>
                <w:w w:val="100"/>
                <w:kern w:val="0"/>
                <w:position w:val="0"/>
                <w:sz w:val="24"/>
                <w:szCs w:val="24"/>
              </w:rPr>
              <w:t>分值</w:t>
            </w:r>
          </w:p>
        </w:tc>
      </w:tr>
      <w:tr w14:paraId="02E0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3C281FB">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Cs/>
                <w:color w:val="auto"/>
                <w:spacing w:val="0"/>
                <w:w w:val="100"/>
                <w:kern w:val="0"/>
                <w:position w:val="0"/>
                <w:sz w:val="24"/>
                <w:szCs w:val="24"/>
              </w:rPr>
            </w:pPr>
            <w:r>
              <w:rPr>
                <w:rFonts w:hint="eastAsia" w:ascii="宋体" w:hAnsi="宋体" w:eastAsia="宋体" w:cs="宋体"/>
                <w:bCs/>
                <w:color w:val="auto"/>
                <w:spacing w:val="0"/>
                <w:w w:val="100"/>
                <w:kern w:val="0"/>
                <w:position w:val="0"/>
                <w:sz w:val="24"/>
                <w:szCs w:val="24"/>
              </w:rPr>
              <w:t>报价</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096F297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480" w:firstLineChars="200"/>
              <w:jc w:val="both"/>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lang w:eastAsia="zh-CN"/>
              </w:rPr>
              <w:t>价格分采用低价优先法计算，即满足招标文件要求且投标价格最低的投标报价为评标基准价，其价格分为满分。其他投标人的价格分统一按下列公式计算：</w:t>
            </w:r>
          </w:p>
          <w:p w14:paraId="165B4B3C">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both"/>
              <w:textAlignment w:val="baseline"/>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eastAsia="zh-CN"/>
              </w:rPr>
              <w:t>投标报价得分=（评标基准价/投标报价）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15分</w:t>
            </w:r>
          </w:p>
          <w:p w14:paraId="3DB83736">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注：1、投标人报价不得超出预算控制单价和采购预算，否则做无效投标处理。</w:t>
            </w:r>
          </w:p>
          <w:p w14:paraId="5BD7FFBA">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2、根据赣财规【2025】5号文件规定出现下列情形之一的，视为存在异常低价问题，评审委员会应当启动异常低价投标(响应)审查程序：</w:t>
            </w:r>
          </w:p>
          <w:p w14:paraId="452A14AC">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(一)投标(响应)报价低于全部通过符合性审查投标人投标(响应)报价平均值50%的，即投标(响应)报价&lt;全部通过符合性审查投标人投标(响应)报价平均值x50%;</w:t>
            </w:r>
          </w:p>
          <w:p w14:paraId="08314C34">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(二)投标(响应)报价低于通过符合性审查且报价次低投标人投标(响应)报价50%的，即投标(响应)报价&lt;通过符合性审查且报价次低投标人投标(响应)报价x50%:</w:t>
            </w:r>
          </w:p>
          <w:p w14:paraId="0A7B9017">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(三)投标(响应)报价低于采购项目最高限价45%的，即投标(响应)报价&lt;采购项目最高限价x45%，项目没有设定最高限价的，采购预算视为最高限价;</w:t>
            </w:r>
          </w:p>
          <w:p w14:paraId="07EFD480">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(四)评审委员会认为投标人报价过低，有可能影响产品质量或者不能诚信履约的其他情形。</w:t>
            </w:r>
          </w:p>
          <w:p w14:paraId="51BB869E">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相关法律法规对投标人报价有规定的，从其规定。</w:t>
            </w:r>
          </w:p>
          <w:p w14:paraId="4C4493F8">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rPr>
                <w:rFonts w:hint="eastAsia" w:ascii="宋体" w:hAnsi="宋体" w:eastAsia="宋体" w:cs="宋体"/>
                <w:bCs/>
                <w:color w:val="auto"/>
                <w:spacing w:val="0"/>
                <w:w w:val="100"/>
                <w:kern w:val="0"/>
                <w:position w:val="0"/>
                <w:sz w:val="24"/>
                <w:szCs w:val="24"/>
              </w:rPr>
            </w:pPr>
            <w:r>
              <w:rPr>
                <w:rFonts w:hint="eastAsia" w:asciiTheme="minorEastAsia" w:hAnsiTheme="minorEastAsia" w:eastAsiaTheme="minorEastAsia" w:cstheme="minorEastAsia"/>
                <w:b/>
                <w:bCs/>
                <w:color w:val="auto"/>
                <w:sz w:val="24"/>
                <w:szCs w:val="24"/>
                <w:highlight w:val="none"/>
                <w:lang w:val="en-US" w:eastAsia="zh-CN"/>
              </w:rPr>
              <w:t>3、</w:t>
            </w:r>
            <w:r>
              <w:rPr>
                <w:rFonts w:hint="eastAsia" w:asciiTheme="minorEastAsia" w:hAnsiTheme="minorEastAsia" w:eastAsiaTheme="minorEastAsia" w:cstheme="minorEastAsia"/>
                <w:b/>
                <w:bCs/>
                <w:color w:val="auto"/>
                <w:sz w:val="24"/>
                <w:szCs w:val="24"/>
                <w:highlight w:val="none"/>
                <w:lang w:eastAsia="zh-CN"/>
              </w:rPr>
              <w:t>评审委员会要求相关投标人在评标现场合理的时间内，提供项目具体成本测算等与报价合理性相关的书面说明及必要证明材料，对投标(响应)价格作出解释。投标(响应)投标人不提供书面说明、证明材料，或者提供的书面说明、证明材料不能证明其报价合理性的，评审委员会应当将其作为无效投标(响应)处理。审查相关情况应当在评审报告中进行记录。</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02532DF2">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Cs/>
                <w:color w:val="auto"/>
                <w:spacing w:val="0"/>
                <w:w w:val="100"/>
                <w:kern w:val="0"/>
                <w:position w:val="0"/>
                <w:sz w:val="24"/>
                <w:szCs w:val="24"/>
              </w:rPr>
            </w:pPr>
            <w:r>
              <w:rPr>
                <w:rFonts w:hint="eastAsia" w:ascii="宋体" w:hAnsi="宋体" w:eastAsia="宋体" w:cs="宋体"/>
                <w:bCs/>
                <w:color w:val="auto"/>
                <w:spacing w:val="0"/>
                <w:w w:val="100"/>
                <w:kern w:val="0"/>
                <w:position w:val="0"/>
                <w:sz w:val="24"/>
                <w:szCs w:val="24"/>
                <w:highlight w:val="none"/>
                <w:lang w:val="en-US" w:eastAsia="zh-CN"/>
              </w:rPr>
              <w:t>15分</w:t>
            </w:r>
          </w:p>
        </w:tc>
      </w:tr>
      <w:tr w14:paraId="0F5A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5E01548F">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color w:val="auto"/>
                <w:spacing w:val="0"/>
                <w:w w:val="100"/>
                <w:kern w:val="0"/>
                <w:position w:val="0"/>
                <w:sz w:val="24"/>
                <w:szCs w:val="24"/>
              </w:rPr>
            </w:pPr>
            <w:r>
              <w:rPr>
                <w:rFonts w:hint="eastAsia" w:ascii="宋体" w:hAnsi="宋体" w:eastAsia="宋体" w:cs="宋体"/>
                <w:b/>
                <w:color w:val="auto"/>
                <w:spacing w:val="0"/>
                <w:w w:val="100"/>
                <w:kern w:val="0"/>
                <w:position w:val="0"/>
                <w:sz w:val="24"/>
                <w:szCs w:val="24"/>
              </w:rPr>
              <w:t>（二）技术部分（</w:t>
            </w:r>
            <w:r>
              <w:rPr>
                <w:rFonts w:hint="eastAsia" w:ascii="宋体" w:hAnsi="宋体" w:eastAsia="宋体" w:cs="宋体"/>
                <w:b/>
                <w:color w:val="auto"/>
                <w:spacing w:val="0"/>
                <w:w w:val="100"/>
                <w:kern w:val="0"/>
                <w:position w:val="0"/>
                <w:sz w:val="24"/>
                <w:szCs w:val="24"/>
                <w:lang w:val="en-US" w:eastAsia="zh-CN"/>
              </w:rPr>
              <w:t>23分</w:t>
            </w:r>
            <w:r>
              <w:rPr>
                <w:rFonts w:hint="eastAsia" w:ascii="宋体" w:hAnsi="宋体" w:eastAsia="宋体" w:cs="宋体"/>
                <w:b/>
                <w:color w:val="auto"/>
                <w:spacing w:val="0"/>
                <w:w w:val="100"/>
                <w:kern w:val="0"/>
                <w:position w:val="0"/>
                <w:sz w:val="24"/>
                <w:szCs w:val="24"/>
              </w:rPr>
              <w:t>）</w:t>
            </w:r>
          </w:p>
        </w:tc>
      </w:tr>
      <w:tr w14:paraId="6A07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54F6C74B">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color w:val="auto"/>
                <w:spacing w:val="0"/>
                <w:w w:val="100"/>
                <w:kern w:val="0"/>
                <w:position w:val="0"/>
                <w:sz w:val="24"/>
                <w:szCs w:val="24"/>
              </w:rPr>
            </w:pPr>
            <w:r>
              <w:rPr>
                <w:rFonts w:hint="eastAsia" w:ascii="宋体" w:hAnsi="宋体" w:eastAsia="宋体" w:cs="宋体"/>
                <w:b/>
                <w:color w:val="auto"/>
                <w:spacing w:val="0"/>
                <w:w w:val="100"/>
                <w:kern w:val="0"/>
                <w:position w:val="0"/>
                <w:sz w:val="24"/>
                <w:szCs w:val="24"/>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7DA2AE94">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361" w:firstLineChars="150"/>
              <w:jc w:val="center"/>
              <w:rPr>
                <w:rFonts w:hint="eastAsia" w:ascii="宋体" w:hAnsi="宋体" w:eastAsia="宋体" w:cs="宋体"/>
                <w:b/>
                <w:color w:val="auto"/>
                <w:spacing w:val="0"/>
                <w:w w:val="100"/>
                <w:kern w:val="0"/>
                <w:position w:val="0"/>
                <w:sz w:val="24"/>
                <w:szCs w:val="24"/>
              </w:rPr>
            </w:pPr>
            <w:r>
              <w:rPr>
                <w:rFonts w:hint="eastAsia" w:ascii="宋体" w:hAnsi="宋体" w:eastAsia="宋体" w:cs="宋体"/>
                <w:b/>
                <w:color w:val="auto"/>
                <w:spacing w:val="0"/>
                <w:w w:val="100"/>
                <w:kern w:val="0"/>
                <w:position w:val="0"/>
                <w:sz w:val="24"/>
                <w:szCs w:val="24"/>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56CD111">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color w:val="auto"/>
                <w:spacing w:val="0"/>
                <w:w w:val="100"/>
                <w:kern w:val="0"/>
                <w:position w:val="0"/>
                <w:sz w:val="24"/>
                <w:szCs w:val="24"/>
              </w:rPr>
            </w:pPr>
            <w:r>
              <w:rPr>
                <w:rFonts w:hint="eastAsia" w:ascii="宋体" w:hAnsi="宋体" w:eastAsia="宋体" w:cs="宋体"/>
                <w:b/>
                <w:color w:val="auto"/>
                <w:spacing w:val="0"/>
                <w:w w:val="100"/>
                <w:kern w:val="0"/>
                <w:position w:val="0"/>
                <w:sz w:val="24"/>
                <w:szCs w:val="24"/>
              </w:rPr>
              <w:t>分值</w:t>
            </w:r>
          </w:p>
        </w:tc>
      </w:tr>
      <w:tr w14:paraId="4712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0C61E218">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center"/>
              <w:rPr>
                <w:rFonts w:hint="eastAsia" w:ascii="宋体" w:hAnsi="宋体" w:eastAsia="宋体" w:cs="宋体"/>
                <w:b w:val="0"/>
                <w:bCs w:val="0"/>
                <w:color w:val="auto"/>
                <w:spacing w:val="0"/>
                <w:w w:val="100"/>
                <w:kern w:val="0"/>
                <w:position w:val="0"/>
                <w:sz w:val="24"/>
                <w:szCs w:val="24"/>
              </w:rPr>
            </w:pPr>
            <w:r>
              <w:rPr>
                <w:rFonts w:hint="eastAsia" w:ascii="宋体" w:hAnsi="宋体" w:eastAsia="宋体" w:cs="宋体"/>
                <w:b w:val="0"/>
                <w:bCs w:val="0"/>
                <w:color w:val="auto"/>
                <w:spacing w:val="0"/>
                <w:w w:val="100"/>
                <w:position w:val="0"/>
                <w:sz w:val="24"/>
                <w:szCs w:val="24"/>
              </w:rPr>
              <w:t>技术指标及要求</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75546F99">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完全响应招标文件“</w:t>
            </w:r>
            <w:r>
              <w:rPr>
                <w:rFonts w:hint="eastAsia" w:asciiTheme="minorEastAsia" w:hAnsiTheme="minorEastAsia" w:eastAsiaTheme="minorEastAsia" w:cstheme="minorEastAsia"/>
                <w:b w:val="0"/>
                <w:bCs w:val="0"/>
                <w:color w:val="auto"/>
                <w:sz w:val="24"/>
                <w:szCs w:val="24"/>
                <w:highlight w:val="none"/>
                <w:lang w:val="en-US" w:eastAsia="zh-CN"/>
              </w:rPr>
              <w:t>第五章 货物需求表及采购需求”一、项目清单及技术要求</w:t>
            </w:r>
            <w:r>
              <w:rPr>
                <w:rFonts w:hint="eastAsia" w:ascii="宋体" w:hAnsi="宋体" w:eastAsia="宋体" w:cs="宋体"/>
                <w:b w:val="0"/>
                <w:bCs w:val="0"/>
                <w:color w:val="auto"/>
                <w:spacing w:val="0"/>
                <w:w w:val="100"/>
                <w:position w:val="0"/>
                <w:sz w:val="24"/>
                <w:szCs w:val="24"/>
              </w:rPr>
              <w:t>中所有实质性条款，任何一项不满足投标无效。</w:t>
            </w:r>
          </w:p>
          <w:p w14:paraId="783E8866">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b w:val="0"/>
                <w:bCs w:val="0"/>
                <w:color w:val="auto"/>
                <w:spacing w:val="0"/>
                <w:w w:val="100"/>
                <w:kern w:val="0"/>
                <w:position w:val="0"/>
                <w:sz w:val="24"/>
                <w:szCs w:val="24"/>
              </w:rPr>
            </w:pPr>
            <w:r>
              <w:rPr>
                <w:rFonts w:hint="eastAsia" w:ascii="宋体" w:hAnsi="宋体" w:eastAsia="宋体" w:cs="宋体"/>
                <w:b/>
                <w:bCs/>
                <w:color w:val="auto"/>
                <w:spacing w:val="0"/>
                <w:w w:val="100"/>
                <w:position w:val="0"/>
                <w:sz w:val="24"/>
                <w:szCs w:val="24"/>
              </w:rPr>
              <w:t>评审依据：技术</w:t>
            </w:r>
            <w:r>
              <w:rPr>
                <w:rFonts w:hint="eastAsia" w:ascii="宋体" w:hAnsi="宋体" w:eastAsia="宋体" w:cs="宋体"/>
                <w:b/>
                <w:bCs/>
                <w:color w:val="auto"/>
                <w:spacing w:val="0"/>
                <w:w w:val="100"/>
                <w:position w:val="0"/>
                <w:sz w:val="24"/>
                <w:szCs w:val="24"/>
                <w:lang w:val="en-US" w:eastAsia="zh-CN"/>
              </w:rPr>
              <w:t>需求</w:t>
            </w:r>
            <w:r>
              <w:rPr>
                <w:rFonts w:hint="eastAsia" w:ascii="宋体" w:hAnsi="宋体" w:eastAsia="宋体" w:cs="宋体"/>
                <w:b/>
                <w:bCs/>
                <w:color w:val="auto"/>
                <w:spacing w:val="0"/>
                <w:w w:val="100"/>
                <w:position w:val="0"/>
                <w:sz w:val="24"/>
                <w:szCs w:val="24"/>
              </w:rPr>
              <w:t>响应</w:t>
            </w:r>
            <w:r>
              <w:rPr>
                <w:rFonts w:hint="eastAsia" w:ascii="宋体" w:hAnsi="宋体" w:eastAsia="宋体" w:cs="宋体"/>
                <w:b/>
                <w:bCs/>
                <w:color w:val="auto"/>
                <w:spacing w:val="0"/>
                <w:w w:val="100"/>
                <w:position w:val="0"/>
                <w:sz w:val="24"/>
                <w:szCs w:val="24"/>
                <w:lang w:val="en-US" w:eastAsia="zh-CN"/>
              </w:rPr>
              <w:t>/</w:t>
            </w:r>
            <w:r>
              <w:rPr>
                <w:rFonts w:hint="eastAsia" w:ascii="宋体" w:hAnsi="宋体" w:eastAsia="宋体" w:cs="宋体"/>
                <w:b/>
                <w:bCs/>
                <w:color w:val="auto"/>
                <w:spacing w:val="0"/>
                <w:w w:val="100"/>
                <w:position w:val="0"/>
                <w:sz w:val="24"/>
                <w:szCs w:val="24"/>
              </w:rPr>
              <w:t>偏离表。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884E37A">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center"/>
              <w:textAlignment w:val="center"/>
              <w:rPr>
                <w:rFonts w:hint="eastAsia" w:ascii="宋体" w:hAnsi="宋体" w:eastAsia="宋体" w:cs="宋体"/>
                <w:b w:val="0"/>
                <w:bCs w:val="0"/>
                <w:color w:val="auto"/>
                <w:spacing w:val="0"/>
                <w:w w:val="100"/>
                <w:kern w:val="0"/>
                <w:position w:val="0"/>
                <w:sz w:val="24"/>
                <w:szCs w:val="24"/>
              </w:rPr>
            </w:pPr>
            <w:r>
              <w:rPr>
                <w:rFonts w:hint="eastAsia" w:ascii="宋体" w:hAnsi="宋体" w:eastAsia="宋体" w:cs="宋体"/>
                <w:b w:val="0"/>
                <w:bCs w:val="0"/>
                <w:color w:val="auto"/>
                <w:spacing w:val="0"/>
                <w:w w:val="100"/>
                <w:position w:val="0"/>
                <w:sz w:val="24"/>
                <w:szCs w:val="24"/>
              </w:rPr>
              <w:t>符合性审查</w:t>
            </w:r>
          </w:p>
        </w:tc>
      </w:tr>
      <w:tr w14:paraId="2B74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1012" w:type="dxa"/>
            <w:vMerge w:val="restart"/>
            <w:tcBorders>
              <w:top w:val="single" w:color="auto" w:sz="4" w:space="0"/>
              <w:left w:val="single" w:color="auto" w:sz="4" w:space="0"/>
              <w:right w:val="single" w:color="auto" w:sz="4" w:space="0"/>
            </w:tcBorders>
            <w:shd w:val="clear" w:color="auto" w:fill="auto"/>
            <w:noWrap w:val="0"/>
            <w:vAlign w:val="center"/>
          </w:tcPr>
          <w:p w14:paraId="7372E314">
            <w:pPr>
              <w:pStyle w:val="6"/>
              <w:keepNext w:val="0"/>
              <w:keepLines w:val="0"/>
              <w:pageBreakBefore w:val="0"/>
              <w:wordWrap/>
              <w:overflowPunct/>
              <w:topLinePunct w:val="0"/>
              <w:bidi w:val="0"/>
              <w:spacing w:line="360" w:lineRule="auto"/>
              <w:ind w:left="0" w:leftChars="0" w:right="0" w:rightChars="0"/>
              <w:jc w:val="center"/>
              <w:rPr>
                <w:rFonts w:hint="eastAsia" w:ascii="宋体" w:hAnsi="宋体" w:eastAsia="宋体" w:cs="宋体"/>
                <w:b w:val="0"/>
                <w:bCs w:val="0"/>
                <w:color w:val="auto"/>
                <w:spacing w:val="0"/>
                <w:w w:val="100"/>
                <w:kern w:val="0"/>
                <w:position w:val="0"/>
                <w:sz w:val="24"/>
                <w:szCs w:val="24"/>
                <w:lang w:val="en-US" w:eastAsia="zh-CN"/>
              </w:rPr>
            </w:pPr>
            <w:r>
              <w:rPr>
                <w:rFonts w:hint="eastAsia" w:ascii="宋体" w:hAnsi="宋体" w:eastAsia="宋体" w:cs="宋体"/>
                <w:b w:val="0"/>
                <w:bCs w:val="0"/>
                <w:color w:val="auto"/>
                <w:spacing w:val="0"/>
                <w:w w:val="100"/>
                <w:kern w:val="0"/>
                <w:position w:val="0"/>
                <w:sz w:val="24"/>
                <w:szCs w:val="24"/>
                <w:lang w:val="en-US" w:eastAsia="zh-CN"/>
              </w:rPr>
              <w:t>生产与检测设备能力</w:t>
            </w:r>
          </w:p>
        </w:tc>
        <w:tc>
          <w:tcPr>
            <w:tcW w:w="7636" w:type="dxa"/>
            <w:tcBorders>
              <w:top w:val="single" w:color="auto" w:sz="4" w:space="0"/>
              <w:left w:val="single" w:color="auto" w:sz="4" w:space="0"/>
              <w:right w:val="single" w:color="auto" w:sz="4" w:space="0"/>
            </w:tcBorders>
            <w:shd w:val="clear" w:color="auto" w:fill="auto"/>
            <w:noWrap w:val="0"/>
            <w:vAlign w:val="center"/>
          </w:tcPr>
          <w:p w14:paraId="635948C7">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所投产品</w:t>
            </w:r>
            <w:r>
              <w:rPr>
                <w:rFonts w:hint="eastAsia" w:ascii="宋体" w:hAnsi="宋体" w:eastAsia="宋体" w:cs="宋体"/>
                <w:color w:val="auto"/>
                <w:sz w:val="24"/>
                <w:szCs w:val="24"/>
                <w:highlight w:val="none"/>
                <w:lang w:val="en-US" w:eastAsia="zh-CN"/>
              </w:rPr>
              <w:t xml:space="preserve">制造商 </w:t>
            </w:r>
            <w:r>
              <w:rPr>
                <w:rFonts w:hint="eastAsia" w:ascii="宋体" w:hAnsi="宋体" w:eastAsia="宋体" w:cs="宋体"/>
                <w:snapToGrid w:val="0"/>
                <w:color w:val="auto"/>
                <w:kern w:val="2"/>
                <w:sz w:val="24"/>
                <w:szCs w:val="24"/>
                <w:highlight w:val="none"/>
                <w:lang w:val="en-US" w:eastAsia="zh-CN" w:bidi="ar-SA"/>
              </w:rPr>
              <w:t>衬塑钢管</w:t>
            </w:r>
            <w:r>
              <w:rPr>
                <w:rFonts w:hint="eastAsia" w:hAnsi="宋体" w:eastAsia="宋体" w:cs="宋体"/>
                <w:snapToGrid w:val="0"/>
                <w:color w:val="auto"/>
                <w:kern w:val="2"/>
                <w:sz w:val="24"/>
                <w:szCs w:val="24"/>
                <w:highlight w:val="none"/>
                <w:lang w:val="en-US" w:eastAsia="zh-CN" w:bidi="ar-SA"/>
              </w:rPr>
              <w:t xml:space="preserve"> </w:t>
            </w:r>
            <w:r>
              <w:rPr>
                <w:rFonts w:hint="eastAsia" w:ascii="宋体" w:hAnsi="宋体" w:eastAsia="宋体" w:cs="宋体"/>
                <w:snapToGrid w:val="0"/>
                <w:color w:val="auto"/>
                <w:kern w:val="2"/>
                <w:sz w:val="24"/>
                <w:szCs w:val="24"/>
                <w:highlight w:val="none"/>
                <w:lang w:val="en-US" w:eastAsia="zh-CN" w:bidi="ar-SA"/>
              </w:rPr>
              <w:t>任一</w:t>
            </w:r>
            <w:r>
              <w:rPr>
                <w:rFonts w:hint="eastAsia" w:ascii="宋体" w:hAnsi="宋体" w:eastAsia="宋体" w:cs="宋体"/>
                <w:color w:val="auto"/>
                <w:sz w:val="24"/>
                <w:szCs w:val="24"/>
                <w:highlight w:val="none"/>
                <w:lang w:val="en-US" w:eastAsia="zh-CN"/>
              </w:rPr>
              <w:t>规格</w:t>
            </w:r>
            <w:r>
              <w:rPr>
                <w:rFonts w:hint="eastAsia" w:ascii="宋体" w:hAnsi="宋体" w:eastAsia="宋体" w:cs="宋体"/>
                <w:color w:val="auto"/>
                <w:sz w:val="24"/>
                <w:szCs w:val="24"/>
                <w:highlight w:val="none"/>
                <w:lang w:val="zh-CN" w:eastAsia="zh-CN"/>
              </w:rPr>
              <w:t>通过型式检验项目，满足或优于技术要求，同时包含如下检测项目</w:t>
            </w:r>
            <w:r>
              <w:rPr>
                <w:rFonts w:hint="eastAsia" w:ascii="宋体" w:hAnsi="宋体" w:eastAsia="宋体" w:cs="宋体"/>
                <w:snapToGrid w:val="0"/>
                <w:color w:val="auto"/>
                <w:kern w:val="2"/>
                <w:sz w:val="24"/>
                <w:szCs w:val="24"/>
                <w:highlight w:val="none"/>
                <w:lang w:val="en-US" w:eastAsia="zh-CN" w:bidi="ar-SA"/>
              </w:rPr>
              <w:t>：</w:t>
            </w:r>
          </w:p>
          <w:p w14:paraId="39189EA0">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① 弯曲性能（≤DN50）无裂缝、无离层</w:t>
            </w:r>
          </w:p>
          <w:p w14:paraId="43E67DC8">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② 压扁性能（≥DN65）无裂缝、无离层</w:t>
            </w:r>
          </w:p>
          <w:p w14:paraId="2FB1A54B">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③ 镀锌层总重量 ≥ 300g/㎡</w:t>
            </w:r>
          </w:p>
          <w:p w14:paraId="51886E87">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每满足一项得1分，最高得</w:t>
            </w:r>
            <w:r>
              <w:rPr>
                <w:rFonts w:hint="eastAsia" w:hAnsi="宋体" w:eastAsia="宋体" w:cs="宋体"/>
                <w:snapToGrid w:val="0"/>
                <w:color w:val="auto"/>
                <w:kern w:val="2"/>
                <w:sz w:val="24"/>
                <w:szCs w:val="24"/>
                <w:highlight w:val="none"/>
                <w:lang w:val="en-US" w:eastAsia="zh-CN" w:bidi="ar-SA"/>
              </w:rPr>
              <w:t>3</w:t>
            </w:r>
            <w:r>
              <w:rPr>
                <w:rFonts w:hint="eastAsia" w:ascii="宋体" w:hAnsi="宋体" w:eastAsia="宋体" w:cs="宋体"/>
                <w:snapToGrid w:val="0"/>
                <w:color w:val="auto"/>
                <w:kern w:val="2"/>
                <w:sz w:val="24"/>
                <w:szCs w:val="24"/>
                <w:highlight w:val="none"/>
                <w:lang w:val="en-US" w:eastAsia="zh-CN" w:bidi="ar-SA"/>
              </w:rPr>
              <w:t>分。</w:t>
            </w:r>
          </w:p>
          <w:p w14:paraId="2DEE02B1">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b/>
                <w:bCs/>
                <w:snapToGrid w:val="0"/>
                <w:color w:val="auto"/>
                <w:kern w:val="2"/>
                <w:sz w:val="24"/>
                <w:szCs w:val="24"/>
                <w:highlight w:val="none"/>
                <w:lang w:val="en-US" w:eastAsia="zh-CN" w:bidi="ar-SA"/>
              </w:rPr>
              <w:t>评审依据：</w:t>
            </w:r>
            <w:r>
              <w:rPr>
                <w:rFonts w:hint="eastAsia" w:ascii="宋体" w:hAnsi="宋体" w:eastAsia="宋体" w:cs="宋体"/>
                <w:b/>
                <w:bCs/>
                <w:color w:val="auto"/>
                <w:sz w:val="24"/>
                <w:szCs w:val="24"/>
                <w:highlight w:val="none"/>
                <w:lang w:val="zh-CN" w:eastAsia="zh-CN"/>
              </w:rPr>
              <w:t>带“CMA ”标识的检测报告扫描件</w:t>
            </w:r>
            <w:r>
              <w:rPr>
                <w:rFonts w:hint="eastAsia" w:ascii="宋体" w:hAnsi="宋体" w:eastAsia="宋体" w:cs="宋体"/>
                <w:b/>
                <w:bCs/>
                <w:color w:val="auto"/>
                <w:sz w:val="24"/>
                <w:szCs w:val="24"/>
                <w:highlight w:val="none"/>
                <w:lang w:val="en-US" w:eastAsia="zh-CN"/>
              </w:rPr>
              <w:t>并加盖制造商公章；未提供不得分</w:t>
            </w:r>
            <w:r>
              <w:rPr>
                <w:rFonts w:hint="eastAsia" w:ascii="宋体" w:hAnsi="宋体" w:eastAsia="宋体" w:cs="宋体"/>
                <w:b/>
                <w:bCs/>
                <w:color w:val="auto"/>
                <w:sz w:val="24"/>
                <w:szCs w:val="24"/>
                <w:highlight w:val="none"/>
                <w:lang w:val="zh-CN" w:eastAsia="zh-CN"/>
              </w:rPr>
              <w:t>。</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09341">
            <w:pPr>
              <w:pStyle w:val="30"/>
              <w:keepNext w:val="0"/>
              <w:keepLines w:val="0"/>
              <w:pageBreakBefore w:val="0"/>
              <w:kinsoku/>
              <w:wordWrap/>
              <w:overflowPunct/>
              <w:topLinePunct w:val="0"/>
              <w:bidi w:val="0"/>
              <w:snapToGrid/>
              <w:spacing w:line="360" w:lineRule="auto"/>
              <w:ind w:left="0" w:leftChars="0" w:right="0" w:rightChars="0"/>
              <w:jc w:val="center"/>
              <w:outlineLvl w:val="9"/>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rPr>
              <w:t>3分</w:t>
            </w:r>
          </w:p>
        </w:tc>
      </w:tr>
      <w:tr w14:paraId="474C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trPr>
        <w:tc>
          <w:tcPr>
            <w:tcW w:w="1012" w:type="dxa"/>
            <w:vMerge w:val="continue"/>
            <w:tcBorders>
              <w:left w:val="single" w:color="auto" w:sz="4" w:space="0"/>
              <w:right w:val="single" w:color="auto" w:sz="4" w:space="0"/>
            </w:tcBorders>
            <w:noWrap w:val="0"/>
            <w:vAlign w:val="center"/>
          </w:tcPr>
          <w:p w14:paraId="4462BDAB">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textAlignment w:val="baseline"/>
              <w:rPr>
                <w:rFonts w:hint="default" w:ascii="宋体" w:hAnsi="宋体" w:eastAsia="宋体" w:cs="宋体"/>
                <w:b w:val="0"/>
                <w:bCs w:val="0"/>
                <w:color w:val="auto"/>
                <w:spacing w:val="0"/>
                <w:w w:val="100"/>
                <w:kern w:val="0"/>
                <w:position w:val="0"/>
                <w:sz w:val="24"/>
                <w:szCs w:val="24"/>
                <w:lang w:val="en-US" w:eastAsia="zh-CN"/>
              </w:rPr>
            </w:pPr>
          </w:p>
        </w:tc>
        <w:tc>
          <w:tcPr>
            <w:tcW w:w="7636" w:type="dxa"/>
            <w:tcBorders>
              <w:left w:val="single" w:color="auto" w:sz="4" w:space="0"/>
              <w:right w:val="single" w:color="auto" w:sz="4" w:space="0"/>
            </w:tcBorders>
            <w:shd w:val="clear" w:color="auto" w:fill="auto"/>
            <w:noWrap w:val="0"/>
            <w:vAlign w:val="center"/>
          </w:tcPr>
          <w:p w14:paraId="343894E2">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default" w:ascii="宋体" w:hAnsi="宋体" w:eastAsia="宋体" w:cs="Times New Roman"/>
                <w:b w:val="0"/>
                <w:bCs/>
                <w:snapToGrid w:val="0"/>
                <w:color w:val="auto"/>
                <w:kern w:val="2"/>
                <w:sz w:val="24"/>
                <w:szCs w:val="24"/>
                <w:highlight w:val="none"/>
                <w:lang w:val="en-US" w:eastAsia="zh-CN" w:bidi="ar-SA"/>
              </w:rPr>
            </w:pPr>
            <w:r>
              <w:rPr>
                <w:rFonts w:hint="default" w:ascii="宋体" w:hAnsi="宋体" w:eastAsia="宋体" w:cs="Times New Roman"/>
                <w:b w:val="0"/>
                <w:bCs/>
                <w:snapToGrid w:val="0"/>
                <w:color w:val="auto"/>
                <w:kern w:val="2"/>
                <w:sz w:val="24"/>
                <w:szCs w:val="24"/>
                <w:highlight w:val="none"/>
                <w:lang w:val="en-US" w:eastAsia="zh-CN" w:bidi="ar-SA"/>
              </w:rPr>
              <w:t>① 核心产品制造商具备</w:t>
            </w:r>
            <w:r>
              <w:rPr>
                <w:rFonts w:ascii="宋体" w:hAnsi="宋体" w:eastAsia="宋体" w:cs="Times New Roman"/>
                <w:b w:val="0"/>
                <w:bCs/>
                <w:i w:val="0"/>
                <w:iCs w:val="0"/>
                <w:caps w:val="0"/>
                <w:color w:val="auto"/>
                <w:spacing w:val="0"/>
                <w:sz w:val="24"/>
                <w:szCs w:val="24"/>
                <w:highlight w:val="none"/>
                <w:shd w:val="clear" w:fill="auto"/>
              </w:rPr>
              <w:t>生产</w:t>
            </w:r>
            <w:r>
              <w:rPr>
                <w:rFonts w:hint="default" w:ascii="宋体" w:hAnsi="宋体" w:eastAsia="宋体" w:cs="Times New Roman"/>
                <w:b w:val="0"/>
                <w:bCs/>
                <w:i w:val="0"/>
                <w:iCs w:val="0"/>
                <w:caps w:val="0"/>
                <w:color w:val="auto"/>
                <w:spacing w:val="0"/>
                <w:sz w:val="24"/>
                <w:szCs w:val="24"/>
                <w:highlight w:val="none"/>
                <w:shd w:val="clear" w:fill="auto"/>
                <w:lang w:val="en-US" w:eastAsia="zh-CN"/>
              </w:rPr>
              <w:t>设备</w:t>
            </w:r>
            <w:r>
              <w:rPr>
                <w:rFonts w:hint="default" w:ascii="宋体" w:hAnsi="宋体" w:eastAsia="宋体" w:cs="Times New Roman"/>
                <w:b w:val="0"/>
                <w:bCs/>
                <w:snapToGrid w:val="0"/>
                <w:color w:val="auto"/>
                <w:kern w:val="2"/>
                <w:sz w:val="24"/>
                <w:szCs w:val="24"/>
                <w:highlight w:val="none"/>
                <w:lang w:val="en-US" w:eastAsia="zh-CN" w:bidi="ar-SA"/>
              </w:rPr>
              <w:t>：</w:t>
            </w:r>
            <w:r>
              <w:rPr>
                <w:rFonts w:hint="eastAsia" w:ascii="宋体" w:hAnsi="宋体" w:eastAsia="宋体" w:cs="Times New Roman"/>
                <w:b w:val="0"/>
                <w:bCs/>
                <w:snapToGrid w:val="0"/>
                <w:color w:val="auto"/>
                <w:kern w:val="2"/>
                <w:sz w:val="24"/>
                <w:szCs w:val="24"/>
                <w:highlight w:val="none"/>
                <w:lang w:val="en-US" w:eastAsia="zh-CN" w:bidi="ar-SA"/>
              </w:rPr>
              <w:t>（如</w:t>
            </w:r>
            <w:r>
              <w:rPr>
                <w:rFonts w:hint="default" w:ascii="宋体" w:hAnsi="宋体" w:eastAsia="宋体" w:cs="Times New Roman"/>
                <w:b w:val="0"/>
                <w:bCs/>
                <w:snapToGrid w:val="0"/>
                <w:color w:val="auto"/>
                <w:kern w:val="2"/>
                <w:sz w:val="24"/>
                <w:szCs w:val="24"/>
                <w:highlight w:val="none"/>
                <w:lang w:val="en-US" w:eastAsia="zh-CN" w:bidi="ar-SA"/>
              </w:rPr>
              <w:t>钢卷纵剪设备、钢管成型机组、自动焊接设备、喷砂处理设备</w:t>
            </w:r>
            <w:r>
              <w:rPr>
                <w:rFonts w:hint="eastAsia" w:hAnsi="宋体" w:eastAsia="宋体" w:cs="Times New Roman"/>
                <w:b w:val="0"/>
                <w:bCs/>
                <w:snapToGrid w:val="0"/>
                <w:color w:val="auto"/>
                <w:kern w:val="2"/>
                <w:sz w:val="24"/>
                <w:szCs w:val="24"/>
                <w:highlight w:val="none"/>
                <w:lang w:val="en-US" w:eastAsia="zh-CN" w:bidi="ar-SA"/>
              </w:rPr>
              <w:t>等）</w:t>
            </w:r>
            <w:r>
              <w:rPr>
                <w:rFonts w:hint="default" w:ascii="宋体" w:hAnsi="宋体" w:eastAsia="宋体" w:cs="Times New Roman"/>
                <w:b w:val="0"/>
                <w:bCs/>
                <w:snapToGrid w:val="0"/>
                <w:color w:val="auto"/>
                <w:kern w:val="2"/>
                <w:sz w:val="24"/>
                <w:szCs w:val="24"/>
                <w:highlight w:val="none"/>
                <w:lang w:val="en-US" w:eastAsia="zh-CN" w:bidi="ar-SA"/>
              </w:rPr>
              <w:t>，每</w:t>
            </w:r>
            <w:r>
              <w:rPr>
                <w:rFonts w:hint="eastAsia" w:hAnsi="宋体" w:eastAsia="宋体" w:cs="Times New Roman"/>
                <w:b w:val="0"/>
                <w:bCs/>
                <w:snapToGrid w:val="0"/>
                <w:color w:val="auto"/>
                <w:kern w:val="2"/>
                <w:sz w:val="24"/>
                <w:szCs w:val="24"/>
                <w:highlight w:val="none"/>
                <w:lang w:val="en-US" w:eastAsia="zh-CN" w:bidi="ar-SA"/>
              </w:rPr>
              <w:t>提供</w:t>
            </w:r>
            <w:r>
              <w:rPr>
                <w:rFonts w:hint="default" w:ascii="宋体" w:hAnsi="宋体" w:eastAsia="宋体" w:cs="Times New Roman"/>
                <w:b w:val="0"/>
                <w:bCs/>
                <w:snapToGrid w:val="0"/>
                <w:color w:val="auto"/>
                <w:kern w:val="2"/>
                <w:sz w:val="24"/>
                <w:szCs w:val="24"/>
                <w:highlight w:val="none"/>
                <w:lang w:val="en-US" w:eastAsia="zh-CN" w:bidi="ar-SA"/>
              </w:rPr>
              <w:t>一项得1分，最高得4分。</w:t>
            </w:r>
          </w:p>
          <w:p w14:paraId="175F2F07">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default" w:ascii="宋体" w:hAnsi="宋体" w:eastAsia="宋体" w:cs="Times New Roman"/>
                <w:b/>
                <w:snapToGrid w:val="0"/>
                <w:color w:val="auto"/>
                <w:kern w:val="2"/>
                <w:sz w:val="24"/>
                <w:szCs w:val="24"/>
                <w:highlight w:val="none"/>
                <w:lang w:val="en-US" w:eastAsia="zh-CN" w:bidi="ar-SA"/>
              </w:rPr>
            </w:pPr>
            <w:r>
              <w:rPr>
                <w:rFonts w:hint="default" w:ascii="宋体" w:hAnsi="宋体" w:eastAsia="宋体" w:cs="Times New Roman"/>
                <w:b/>
                <w:snapToGrid w:val="0"/>
                <w:color w:val="auto"/>
                <w:kern w:val="2"/>
                <w:sz w:val="24"/>
                <w:szCs w:val="24"/>
                <w:highlight w:val="none"/>
                <w:lang w:val="en-US" w:eastAsia="zh-CN" w:bidi="ar-SA"/>
              </w:rPr>
              <w:t>评审依据：</w:t>
            </w:r>
            <w:r>
              <w:rPr>
                <w:rFonts w:ascii="Segoe UI" w:hAnsi="Segoe UI" w:eastAsia="Segoe UI" w:cs="Segoe UI"/>
                <w:b/>
                <w:bCs/>
                <w:i w:val="0"/>
                <w:iCs w:val="0"/>
                <w:caps w:val="0"/>
                <w:color w:val="0F1115"/>
                <w:spacing w:val="0"/>
                <w:sz w:val="24"/>
                <w:szCs w:val="24"/>
                <w:shd w:val="clear" w:fill="FFFFFF"/>
              </w:rPr>
              <w:t>提供设备图片，并根据设备来源提供以下对应证明材料：设备为自有的提供设备采购合同及设备购买发票扫描件，设备为租赁的提供有效的设备租赁合同、近3个月内任意一期租金支付凭证（或租赁发票）</w:t>
            </w:r>
            <w:r>
              <w:rPr>
                <w:rFonts w:hint="eastAsia" w:ascii="Segoe UI" w:hAnsi="Segoe UI" w:eastAsia="宋体" w:cs="Segoe UI"/>
                <w:b/>
                <w:bCs/>
                <w:i w:val="0"/>
                <w:iCs w:val="0"/>
                <w:caps w:val="0"/>
                <w:color w:val="0F1115"/>
                <w:spacing w:val="0"/>
                <w:sz w:val="24"/>
                <w:szCs w:val="24"/>
                <w:shd w:val="clear" w:fill="FFFFFF"/>
                <w:lang w:eastAsia="zh-CN"/>
              </w:rPr>
              <w:t>。</w:t>
            </w:r>
            <w:r>
              <w:rPr>
                <w:rFonts w:hint="eastAsia" w:ascii="Segoe UI" w:hAnsi="Segoe UI" w:eastAsia="宋体" w:cs="Segoe UI"/>
                <w:b/>
                <w:bCs/>
                <w:i w:val="0"/>
                <w:iCs w:val="0"/>
                <w:caps w:val="0"/>
                <w:color w:val="0F1115"/>
                <w:spacing w:val="0"/>
                <w:sz w:val="24"/>
                <w:szCs w:val="24"/>
                <w:shd w:val="clear" w:fill="FFFFFF"/>
                <w:lang w:val="en-US" w:eastAsia="zh-CN"/>
              </w:rPr>
              <w:t>以上材料</w:t>
            </w:r>
            <w:r>
              <w:rPr>
                <w:rFonts w:ascii="Segoe UI" w:hAnsi="Segoe UI" w:eastAsia="Segoe UI" w:cs="Segoe UI"/>
                <w:b/>
                <w:bCs/>
                <w:i w:val="0"/>
                <w:iCs w:val="0"/>
                <w:caps w:val="0"/>
                <w:color w:val="0F1115"/>
                <w:spacing w:val="0"/>
                <w:sz w:val="24"/>
                <w:szCs w:val="24"/>
                <w:shd w:val="clear" w:fill="FFFFFF"/>
              </w:rPr>
              <w:t>均须加盖制造商公章</w:t>
            </w:r>
            <w:r>
              <w:rPr>
                <w:rFonts w:hint="eastAsia"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en-US" w:eastAsia="zh-CN"/>
              </w:rPr>
              <w:t>未提供不得分</w:t>
            </w:r>
            <w:r>
              <w:rPr>
                <w:rFonts w:hint="eastAsia" w:ascii="宋体" w:hAnsi="宋体" w:eastAsia="宋体" w:cs="宋体"/>
                <w:b/>
                <w:bCs/>
                <w:color w:val="auto"/>
                <w:sz w:val="24"/>
                <w:szCs w:val="24"/>
                <w:highlight w:val="none"/>
                <w:lang w:val="zh-CN" w:eastAsia="zh-CN"/>
              </w:rPr>
              <w:t>。</w:t>
            </w:r>
          </w:p>
        </w:tc>
        <w:tc>
          <w:tcPr>
            <w:tcW w:w="930" w:type="dxa"/>
            <w:tcBorders>
              <w:top w:val="single" w:color="auto" w:sz="4" w:space="0"/>
              <w:left w:val="single" w:color="auto" w:sz="4" w:space="0"/>
              <w:right w:val="single" w:color="auto" w:sz="4" w:space="0"/>
            </w:tcBorders>
            <w:shd w:val="clear" w:color="auto" w:fill="auto"/>
            <w:noWrap w:val="0"/>
            <w:vAlign w:val="center"/>
          </w:tcPr>
          <w:p w14:paraId="55781131">
            <w:pPr>
              <w:pStyle w:val="30"/>
              <w:keepNext w:val="0"/>
              <w:keepLines w:val="0"/>
              <w:pageBreakBefore w:val="0"/>
              <w:kinsoku/>
              <w:wordWrap/>
              <w:overflowPunct/>
              <w:topLinePunct w:val="0"/>
              <w:bidi w:val="0"/>
              <w:snapToGrid/>
              <w:spacing w:line="360" w:lineRule="auto"/>
              <w:ind w:left="0" w:leftChars="0" w:right="0" w:rightChars="0"/>
              <w:jc w:val="center"/>
              <w:outlineLvl w:val="9"/>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rPr>
              <w:t>4分</w:t>
            </w:r>
          </w:p>
        </w:tc>
      </w:tr>
      <w:tr w14:paraId="089E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trPr>
        <w:tc>
          <w:tcPr>
            <w:tcW w:w="1012" w:type="dxa"/>
            <w:vMerge w:val="continue"/>
            <w:tcBorders>
              <w:left w:val="single" w:color="auto" w:sz="4" w:space="0"/>
              <w:right w:val="single" w:color="auto" w:sz="4" w:space="0"/>
            </w:tcBorders>
            <w:noWrap w:val="0"/>
            <w:vAlign w:val="center"/>
          </w:tcPr>
          <w:p w14:paraId="50169CF0">
            <w:pPr>
              <w:pStyle w:val="28"/>
              <w:keepNext w:val="0"/>
              <w:keepLines w:val="0"/>
              <w:pageBreakBefore w:val="0"/>
              <w:wordWrap/>
              <w:overflowPunct/>
              <w:topLinePunct w:val="0"/>
              <w:bidi w:val="0"/>
              <w:spacing w:line="360" w:lineRule="auto"/>
              <w:ind w:left="0" w:leftChars="0" w:right="0" w:rightChars="0" w:firstLine="0" w:firstLineChars="0"/>
            </w:pPr>
          </w:p>
        </w:tc>
        <w:tc>
          <w:tcPr>
            <w:tcW w:w="7636" w:type="dxa"/>
            <w:tcBorders>
              <w:left w:val="single" w:color="auto" w:sz="4" w:space="0"/>
              <w:right w:val="single" w:color="auto" w:sz="4" w:space="0"/>
            </w:tcBorders>
            <w:shd w:val="clear" w:color="auto" w:fill="auto"/>
            <w:noWrap w:val="0"/>
            <w:vAlign w:val="center"/>
          </w:tcPr>
          <w:p w14:paraId="4ECA5EEE">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default" w:ascii="宋体" w:hAnsi="宋体" w:eastAsia="宋体" w:cs="Times New Roman"/>
                <w:b w:val="0"/>
                <w:bCs/>
                <w:snapToGrid w:val="0"/>
                <w:color w:val="auto"/>
                <w:kern w:val="2"/>
                <w:sz w:val="24"/>
                <w:szCs w:val="24"/>
                <w:highlight w:val="none"/>
                <w:lang w:val="en-US" w:eastAsia="zh-CN" w:bidi="ar-SA"/>
              </w:rPr>
            </w:pPr>
            <w:r>
              <w:rPr>
                <w:rFonts w:hint="default" w:ascii="宋体" w:hAnsi="宋体" w:eastAsia="宋体" w:cs="Times New Roman"/>
                <w:b w:val="0"/>
                <w:bCs/>
                <w:snapToGrid w:val="0"/>
                <w:color w:val="auto"/>
                <w:kern w:val="2"/>
                <w:sz w:val="24"/>
                <w:szCs w:val="24"/>
                <w:highlight w:val="none"/>
                <w:lang w:val="en-US" w:eastAsia="zh-CN" w:bidi="ar-SA"/>
              </w:rPr>
              <w:t>② 核心产品制造商具备原材料检测设备：</w:t>
            </w:r>
            <w:r>
              <w:rPr>
                <w:rFonts w:hint="default" w:hAnsi="宋体" w:eastAsia="宋体" w:cs="Times New Roman"/>
                <w:b w:val="0"/>
                <w:bCs/>
                <w:snapToGrid w:val="0"/>
                <w:color w:val="auto"/>
                <w:kern w:val="2"/>
                <w:sz w:val="24"/>
                <w:szCs w:val="24"/>
                <w:highlight w:val="none"/>
                <w:lang w:val="en-US" w:eastAsia="zh-CN" w:bidi="ar-SA"/>
              </w:rPr>
              <w:t>（如</w:t>
            </w:r>
            <w:r>
              <w:rPr>
                <w:rFonts w:hint="default" w:ascii="宋体" w:hAnsi="宋体" w:eastAsia="宋体" w:cs="Times New Roman"/>
                <w:b w:val="0"/>
                <w:bCs/>
                <w:snapToGrid w:val="0"/>
                <w:color w:val="auto"/>
                <w:kern w:val="2"/>
                <w:sz w:val="24"/>
                <w:szCs w:val="24"/>
                <w:highlight w:val="none"/>
                <w:lang w:val="en-US" w:eastAsia="zh-CN" w:bidi="ar-SA"/>
              </w:rPr>
              <w:t>光谱分析仪、镀锌层测厚仪、万能试验机</w:t>
            </w:r>
            <w:r>
              <w:rPr>
                <w:rFonts w:hint="default" w:hAnsi="宋体" w:eastAsia="宋体" w:cs="Times New Roman"/>
                <w:b w:val="0"/>
                <w:bCs/>
                <w:snapToGrid w:val="0"/>
                <w:color w:val="auto"/>
                <w:kern w:val="2"/>
                <w:sz w:val="24"/>
                <w:szCs w:val="24"/>
                <w:highlight w:val="none"/>
                <w:lang w:val="en-US" w:eastAsia="zh-CN" w:bidi="ar-SA"/>
              </w:rPr>
              <w:t>等）</w:t>
            </w:r>
            <w:r>
              <w:rPr>
                <w:rFonts w:hint="default" w:ascii="宋体" w:hAnsi="宋体" w:eastAsia="宋体" w:cs="Times New Roman"/>
                <w:b w:val="0"/>
                <w:bCs/>
                <w:snapToGrid w:val="0"/>
                <w:color w:val="auto"/>
                <w:kern w:val="2"/>
                <w:sz w:val="24"/>
                <w:szCs w:val="24"/>
                <w:highlight w:val="none"/>
                <w:lang w:val="en-US" w:eastAsia="zh-CN" w:bidi="ar-SA"/>
              </w:rPr>
              <w:t>，</w:t>
            </w:r>
            <w:r>
              <w:rPr>
                <w:rFonts w:ascii="宋体" w:hAnsi="宋体" w:eastAsia="宋体" w:cs="Times New Roman"/>
                <w:bCs/>
                <w:i w:val="0"/>
                <w:iCs w:val="0"/>
                <w:caps w:val="0"/>
                <w:color w:val="auto"/>
                <w:spacing w:val="0"/>
                <w:sz w:val="24"/>
                <w:szCs w:val="24"/>
                <w:highlight w:val="none"/>
                <w:shd w:val="clear" w:fill="auto"/>
              </w:rPr>
              <w:t>每</w:t>
            </w:r>
            <w:r>
              <w:rPr>
                <w:rFonts w:hint="eastAsia" w:hAnsi="宋体" w:eastAsia="宋体" w:cs="Times New Roman"/>
                <w:b w:val="0"/>
                <w:bCs/>
                <w:snapToGrid w:val="0"/>
                <w:color w:val="auto"/>
                <w:kern w:val="2"/>
                <w:sz w:val="24"/>
                <w:szCs w:val="24"/>
                <w:highlight w:val="none"/>
                <w:lang w:val="en-US" w:eastAsia="zh-CN" w:bidi="ar-SA"/>
              </w:rPr>
              <w:t>提供</w:t>
            </w:r>
            <w:r>
              <w:rPr>
                <w:rFonts w:ascii="宋体" w:hAnsi="宋体" w:eastAsia="宋体" w:cs="Times New Roman"/>
                <w:bCs/>
                <w:i w:val="0"/>
                <w:iCs w:val="0"/>
                <w:caps w:val="0"/>
                <w:color w:val="auto"/>
                <w:spacing w:val="0"/>
                <w:sz w:val="24"/>
                <w:szCs w:val="24"/>
                <w:highlight w:val="none"/>
                <w:shd w:val="clear" w:fill="auto"/>
              </w:rPr>
              <w:t>一项得1分</w:t>
            </w:r>
            <w:r>
              <w:rPr>
                <w:rFonts w:hint="default" w:ascii="宋体" w:hAnsi="宋体" w:eastAsia="宋体" w:cs="Times New Roman"/>
                <w:b w:val="0"/>
                <w:bCs/>
                <w:snapToGrid w:val="0"/>
                <w:color w:val="auto"/>
                <w:kern w:val="2"/>
                <w:sz w:val="24"/>
                <w:szCs w:val="24"/>
                <w:highlight w:val="none"/>
                <w:lang w:val="en-US" w:eastAsia="zh-CN" w:bidi="ar-SA"/>
              </w:rPr>
              <w:t>，最高得3分。</w:t>
            </w:r>
          </w:p>
          <w:p w14:paraId="59B5EB94">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default" w:ascii="宋体" w:hAnsi="宋体" w:eastAsia="宋体" w:cs="Times New Roman"/>
                <w:b/>
                <w:snapToGrid w:val="0"/>
                <w:color w:val="auto"/>
                <w:kern w:val="2"/>
                <w:sz w:val="24"/>
                <w:szCs w:val="24"/>
                <w:highlight w:val="none"/>
                <w:lang w:val="en-US" w:eastAsia="zh-CN" w:bidi="ar-SA"/>
              </w:rPr>
            </w:pPr>
            <w:r>
              <w:rPr>
                <w:rFonts w:hint="default" w:ascii="宋体" w:hAnsi="宋体" w:eastAsia="宋体" w:cs="Times New Roman"/>
                <w:b/>
                <w:snapToGrid w:val="0"/>
                <w:color w:val="auto"/>
                <w:kern w:val="2"/>
                <w:sz w:val="24"/>
                <w:szCs w:val="24"/>
                <w:highlight w:val="none"/>
                <w:lang w:val="en-US" w:eastAsia="zh-CN" w:bidi="ar-SA"/>
              </w:rPr>
              <w:t>评审依据：</w:t>
            </w:r>
            <w:r>
              <w:rPr>
                <w:rFonts w:ascii="Segoe UI" w:hAnsi="Segoe UI" w:eastAsia="Segoe UI" w:cs="Segoe UI"/>
                <w:b/>
                <w:bCs/>
                <w:i w:val="0"/>
                <w:iCs w:val="0"/>
                <w:caps w:val="0"/>
                <w:color w:val="0F1115"/>
                <w:spacing w:val="0"/>
                <w:sz w:val="24"/>
                <w:szCs w:val="24"/>
                <w:shd w:val="clear" w:fill="FFFFFF"/>
              </w:rPr>
              <w:t>提供设备图片，并根据设备来源提供以下对应证明材料：设备为自有的提供设备采购合同及设备购买发票扫描件，设备为租赁的提供有效的设备租赁合同、近3个月内任意一期租金支付凭证（或租赁发票）</w:t>
            </w:r>
            <w:r>
              <w:rPr>
                <w:rFonts w:hint="eastAsia" w:ascii="Segoe UI" w:hAnsi="Segoe UI" w:eastAsia="宋体" w:cs="Segoe UI"/>
                <w:b/>
                <w:bCs/>
                <w:i w:val="0"/>
                <w:iCs w:val="0"/>
                <w:caps w:val="0"/>
                <w:color w:val="0F1115"/>
                <w:spacing w:val="0"/>
                <w:sz w:val="24"/>
                <w:szCs w:val="24"/>
                <w:shd w:val="clear" w:fill="FFFFFF"/>
                <w:lang w:eastAsia="zh-CN"/>
              </w:rPr>
              <w:t>。</w:t>
            </w:r>
            <w:r>
              <w:rPr>
                <w:rFonts w:hint="eastAsia" w:ascii="Segoe UI" w:hAnsi="Segoe UI" w:eastAsia="宋体" w:cs="Segoe UI"/>
                <w:b/>
                <w:bCs/>
                <w:i w:val="0"/>
                <w:iCs w:val="0"/>
                <w:caps w:val="0"/>
                <w:color w:val="0F1115"/>
                <w:spacing w:val="0"/>
                <w:sz w:val="24"/>
                <w:szCs w:val="24"/>
                <w:shd w:val="clear" w:fill="FFFFFF"/>
                <w:lang w:val="en-US" w:eastAsia="zh-CN"/>
              </w:rPr>
              <w:t>以上材料</w:t>
            </w:r>
            <w:r>
              <w:rPr>
                <w:rFonts w:ascii="Segoe UI" w:hAnsi="Segoe UI" w:eastAsia="Segoe UI" w:cs="Segoe UI"/>
                <w:b/>
                <w:bCs/>
                <w:i w:val="0"/>
                <w:iCs w:val="0"/>
                <w:caps w:val="0"/>
                <w:color w:val="0F1115"/>
                <w:spacing w:val="0"/>
                <w:sz w:val="24"/>
                <w:szCs w:val="24"/>
                <w:shd w:val="clear" w:fill="FFFFFF"/>
              </w:rPr>
              <w:t>均须加盖制造商公章</w:t>
            </w:r>
            <w:r>
              <w:rPr>
                <w:rFonts w:hint="eastAsia"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en-US" w:eastAsia="zh-CN"/>
              </w:rPr>
              <w:t>未提供不得分</w:t>
            </w:r>
            <w:r>
              <w:rPr>
                <w:rFonts w:hint="eastAsia" w:ascii="宋体" w:hAnsi="宋体" w:eastAsia="宋体" w:cs="宋体"/>
                <w:b/>
                <w:bCs/>
                <w:color w:val="auto"/>
                <w:sz w:val="24"/>
                <w:szCs w:val="24"/>
                <w:highlight w:val="none"/>
                <w:lang w:val="zh-CN" w:eastAsia="zh-CN"/>
              </w:rPr>
              <w:t>。</w:t>
            </w:r>
          </w:p>
        </w:tc>
        <w:tc>
          <w:tcPr>
            <w:tcW w:w="930" w:type="dxa"/>
            <w:tcBorders>
              <w:left w:val="single" w:color="auto" w:sz="4" w:space="0"/>
              <w:bottom w:val="single" w:color="auto" w:sz="4" w:space="0"/>
              <w:right w:val="single" w:color="auto" w:sz="4" w:space="0"/>
            </w:tcBorders>
            <w:shd w:val="clear" w:color="auto" w:fill="auto"/>
            <w:noWrap w:val="0"/>
            <w:vAlign w:val="center"/>
          </w:tcPr>
          <w:p w14:paraId="33DECA93">
            <w:pPr>
              <w:pStyle w:val="28"/>
              <w:keepNext w:val="0"/>
              <w:keepLines w:val="0"/>
              <w:pageBreakBefore w:val="0"/>
              <w:wordWrap/>
              <w:overflowPunct/>
              <w:topLinePunct w:val="0"/>
              <w:bidi w:val="0"/>
              <w:spacing w:line="360" w:lineRule="auto"/>
              <w:ind w:left="0" w:leftChars="0" w:right="0" w:rightChars="0" w:firstLine="0" w:firstLineChars="0"/>
              <w:jc w:val="center"/>
              <w:rPr>
                <w:rFonts w:hint="default" w:ascii="宋体" w:hAnsi="宋体" w:eastAsia="宋体" w:cs="Times New Roman"/>
                <w:b/>
                <w:snapToGrid w:val="0"/>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rPr>
              <w:t>3分</w:t>
            </w:r>
          </w:p>
        </w:tc>
      </w:tr>
      <w:tr w14:paraId="52B3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left w:val="single" w:color="auto" w:sz="4" w:space="0"/>
              <w:right w:val="single" w:color="auto" w:sz="4" w:space="0"/>
            </w:tcBorders>
            <w:shd w:val="clear" w:color="auto" w:fill="auto"/>
            <w:noWrap w:val="0"/>
            <w:vAlign w:val="center"/>
          </w:tcPr>
          <w:p w14:paraId="11D322F6">
            <w:pPr>
              <w:pStyle w:val="24"/>
              <w:keepNext w:val="0"/>
              <w:keepLines w:val="0"/>
              <w:pageBreakBefore w:val="0"/>
              <w:numPr>
                <w:ilvl w:val="0"/>
                <w:numId w:val="0"/>
              </w:numPr>
              <w:wordWrap/>
              <w:overflowPunct/>
              <w:topLinePunct w:val="0"/>
              <w:bidi w:val="0"/>
              <w:spacing w:line="360" w:lineRule="auto"/>
              <w:ind w:left="0" w:leftChars="0" w:right="0" w:rightChars="0" w:firstLine="0" w:firstLineChars="0"/>
              <w:jc w:val="center"/>
              <w:rPr>
                <w:rFonts w:hint="eastAsia" w:ascii="宋体" w:hAnsi="宋体" w:eastAsia="宋体" w:cs="宋体"/>
                <w:b w:val="0"/>
                <w:bCs w:val="0"/>
                <w:snapToGrid w:val="0"/>
                <w:color w:val="auto"/>
                <w:spacing w:val="0"/>
                <w:w w:val="100"/>
                <w:kern w:val="0"/>
                <w:position w:val="0"/>
                <w:sz w:val="24"/>
                <w:szCs w:val="24"/>
                <w:highlight w:val="none"/>
                <w:lang w:val="en-US" w:eastAsia="zh-CN" w:bidi="ar-SA"/>
              </w:rPr>
            </w:pPr>
            <w:r>
              <w:rPr>
                <w:rFonts w:hint="default" w:ascii="宋体" w:hAnsi="宋体" w:eastAsia="宋体" w:cs="宋体"/>
                <w:b/>
                <w:bCs/>
                <w:color w:val="auto"/>
                <w:sz w:val="24"/>
                <w:szCs w:val="24"/>
                <w:highlight w:val="none"/>
                <w:lang w:val="en-US" w:eastAsia="zh-CN"/>
              </w:rPr>
              <w:t>供货方案</w:t>
            </w:r>
          </w:p>
        </w:tc>
        <w:tc>
          <w:tcPr>
            <w:tcW w:w="7636" w:type="dxa"/>
            <w:tcBorders>
              <w:left w:val="single" w:color="auto" w:sz="4" w:space="0"/>
              <w:right w:val="single" w:color="auto" w:sz="4" w:space="0"/>
            </w:tcBorders>
            <w:shd w:val="clear" w:color="auto" w:fill="auto"/>
            <w:noWrap w:val="0"/>
            <w:vAlign w:val="center"/>
          </w:tcPr>
          <w:p w14:paraId="78AF4B81">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投标人针对该项目提供供货方案，</w:t>
            </w:r>
            <w:r>
              <w:rPr>
                <w:rFonts w:hint="eastAsia" w:hAnsi="宋体" w:cs="宋体"/>
                <w:color w:val="auto"/>
                <w:sz w:val="24"/>
                <w:szCs w:val="24"/>
                <w:highlight w:val="none"/>
                <w:lang w:val="en-US" w:eastAsia="zh-CN"/>
              </w:rPr>
              <w:t>方案具有以下几点：</w:t>
            </w:r>
          </w:p>
          <w:p w14:paraId="445C3848">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供货流程与技术方案</w:t>
            </w:r>
          </w:p>
          <w:p w14:paraId="465754D7">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供货计划</w:t>
            </w:r>
          </w:p>
          <w:p w14:paraId="3FE137E0">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CN"/>
              </w:rPr>
              <w:t>质量保障</w:t>
            </w:r>
            <w:r>
              <w:rPr>
                <w:rFonts w:hint="eastAsia" w:hAnsi="宋体" w:cs="宋体"/>
                <w:color w:val="auto"/>
                <w:sz w:val="24"/>
                <w:szCs w:val="24"/>
                <w:highlight w:val="none"/>
                <w:lang w:val="en-US" w:eastAsia="zh-CN"/>
              </w:rPr>
              <w:t>方案</w:t>
            </w:r>
          </w:p>
          <w:p w14:paraId="5A093459">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lang w:val="en-US" w:eastAsia="zh-CN"/>
              </w:rPr>
              <w:t>运输方案</w:t>
            </w:r>
          </w:p>
          <w:p w14:paraId="7EE57AB4">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lang w:val="en-US" w:eastAsia="zh-CN"/>
              </w:rPr>
              <w:t>应急保障措施</w:t>
            </w:r>
          </w:p>
          <w:p w14:paraId="4EBBC3CF">
            <w:pPr>
              <w:keepNext w:val="0"/>
              <w:keepLines w:val="0"/>
              <w:pageBreakBefore w:val="0"/>
              <w:wordWrap/>
              <w:overflowPunct/>
              <w:topLinePunct w:val="0"/>
              <w:bidi w:val="0"/>
              <w:snapToGrid w:val="0"/>
              <w:spacing w:line="360" w:lineRule="auto"/>
              <w:ind w:left="0" w:leftChars="0" w:right="0" w:rightChars="0"/>
              <w:rPr>
                <w:rFonts w:hint="eastAsia" w:ascii="宋体" w:hAnsi="宋体" w:cs="宋体"/>
                <w:color w:val="auto"/>
                <w:sz w:val="24"/>
                <w:szCs w:val="24"/>
                <w:highlight w:val="none"/>
                <w:shd w:val="clear" w:color="auto" w:fill="FDFDFE"/>
              </w:rPr>
            </w:pPr>
            <w:r>
              <w:rPr>
                <w:rFonts w:ascii="宋体" w:hAnsi="宋体" w:cs="宋体"/>
                <w:b/>
                <w:bCs/>
                <w:color w:val="auto"/>
                <w:sz w:val="24"/>
                <w:szCs w:val="24"/>
                <w:highlight w:val="none"/>
              </w:rPr>
              <w:t>每提供一小节</w:t>
            </w:r>
            <w:r>
              <w:rPr>
                <w:rFonts w:hint="eastAsia" w:ascii="宋体" w:hAnsi="宋体" w:cs="宋体"/>
                <w:b/>
                <w:bCs/>
                <w:color w:val="auto"/>
                <w:sz w:val="24"/>
                <w:szCs w:val="24"/>
                <w:highlight w:val="none"/>
              </w:rPr>
              <w:t>内容详尽，符合项目需求</w:t>
            </w:r>
            <w:r>
              <w:rPr>
                <w:rFonts w:hint="eastAsia" w:ascii="宋体" w:hAnsi="宋体" w:eastAsia="宋体" w:cs="宋体"/>
                <w:b/>
                <w:bCs/>
                <w:color w:val="auto"/>
                <w:sz w:val="24"/>
                <w:szCs w:val="24"/>
                <w:highlight w:val="none"/>
                <w:lang w:val="en-US" w:eastAsia="zh-CN"/>
              </w:rPr>
              <w:t>的</w:t>
            </w:r>
            <w:r>
              <w:rPr>
                <w:rFonts w:ascii="宋体" w:hAnsi="宋体" w:cs="宋体"/>
                <w:b/>
                <w:bCs/>
                <w:color w:val="auto"/>
                <w:sz w:val="24"/>
                <w:szCs w:val="24"/>
                <w:highlight w:val="none"/>
              </w:rPr>
              <w:t>得</w:t>
            </w:r>
            <w:r>
              <w:rPr>
                <w:rFonts w:hint="eastAsia" w:ascii="宋体" w:hAnsi="宋体" w:cs="宋体"/>
                <w:b/>
                <w:bCs/>
                <w:color w:val="auto"/>
                <w:sz w:val="24"/>
                <w:szCs w:val="24"/>
                <w:highlight w:val="none"/>
                <w:lang w:val="en-US" w:eastAsia="zh-CN"/>
              </w:rPr>
              <w:t>1</w:t>
            </w:r>
            <w:r>
              <w:rPr>
                <w:rFonts w:ascii="宋体" w:hAnsi="宋体" w:cs="宋体"/>
                <w:b/>
                <w:bCs/>
                <w:color w:val="auto"/>
                <w:sz w:val="24"/>
                <w:szCs w:val="24"/>
                <w:highlight w:val="none"/>
              </w:rPr>
              <w:t>分，最高得</w:t>
            </w:r>
            <w:r>
              <w:rPr>
                <w:rFonts w:hint="eastAsia" w:ascii="宋体" w:hAnsi="宋体" w:eastAsia="宋体" w:cs="宋体"/>
                <w:b/>
                <w:bCs/>
                <w:color w:val="auto"/>
                <w:sz w:val="24"/>
                <w:szCs w:val="24"/>
                <w:highlight w:val="none"/>
                <w:lang w:val="en-US" w:eastAsia="zh-CN"/>
              </w:rPr>
              <w:t>5</w:t>
            </w:r>
            <w:r>
              <w:rPr>
                <w:rFonts w:ascii="宋体" w:hAnsi="宋体" w:cs="宋体"/>
                <w:b/>
                <w:bCs/>
                <w:color w:val="auto"/>
                <w:sz w:val="24"/>
                <w:szCs w:val="24"/>
                <w:highlight w:val="none"/>
              </w:rPr>
              <w:t>分</w:t>
            </w:r>
            <w:r>
              <w:rPr>
                <w:rFonts w:hint="eastAsia" w:ascii="宋体" w:hAnsi="宋体" w:cs="宋体"/>
                <w:b/>
                <w:bCs/>
                <w:color w:val="auto"/>
                <w:sz w:val="24"/>
                <w:szCs w:val="24"/>
                <w:highlight w:val="none"/>
                <w:lang w:eastAsia="zh-CN"/>
              </w:rPr>
              <w:t>。</w:t>
            </w:r>
          </w:p>
          <w:p w14:paraId="4D935D75">
            <w:pPr>
              <w:keepNext w:val="0"/>
              <w:keepLines w:val="0"/>
              <w:pageBreakBefore w:val="0"/>
              <w:widowControl/>
              <w:wordWrap/>
              <w:overflowPunct/>
              <w:topLinePunct w:val="0"/>
              <w:bidi w:val="0"/>
              <w:spacing w:line="360" w:lineRule="auto"/>
              <w:ind w:left="0" w:leftChars="0" w:right="0" w:rightChars="0"/>
              <w:jc w:val="left"/>
              <w:rPr>
                <w:rFonts w:hint="eastAsia" w:ascii="宋体" w:hAnsi="宋体" w:cs="宋体"/>
                <w:b/>
                <w:bCs/>
                <w:color w:val="auto"/>
                <w:sz w:val="24"/>
                <w:szCs w:val="24"/>
                <w:highlight w:val="none"/>
              </w:rPr>
            </w:pPr>
            <w:r>
              <w:rPr>
                <w:rFonts w:ascii="宋体" w:hAnsi="宋体" w:cs="宋体"/>
                <w:b/>
                <w:bCs/>
                <w:color w:val="auto"/>
                <w:sz w:val="24"/>
                <w:szCs w:val="24"/>
                <w:highlight w:val="none"/>
              </w:rPr>
              <w:t>注：提供的</w:t>
            </w:r>
            <w:r>
              <w:rPr>
                <w:rFonts w:hint="eastAsia" w:ascii="宋体" w:hAnsi="宋体" w:cs="宋体"/>
                <w:b/>
                <w:bCs/>
                <w:color w:val="auto"/>
                <w:sz w:val="24"/>
                <w:szCs w:val="24"/>
                <w:highlight w:val="none"/>
              </w:rPr>
              <w:t>分析</w:t>
            </w:r>
            <w:r>
              <w:rPr>
                <w:rFonts w:ascii="宋体" w:hAnsi="宋体" w:cs="宋体"/>
                <w:b/>
                <w:bCs/>
                <w:color w:val="auto"/>
                <w:sz w:val="24"/>
                <w:szCs w:val="24"/>
                <w:highlight w:val="none"/>
              </w:rPr>
              <w:t>内容只有标题但缺乏实质性内容、内容与本项目无关或内容明显缺失的</w:t>
            </w:r>
            <w:r>
              <w:rPr>
                <w:rFonts w:hint="eastAsia" w:ascii="宋体" w:hAnsi="宋体" w:cs="宋体"/>
                <w:b/>
                <w:bCs/>
                <w:color w:val="auto"/>
                <w:sz w:val="24"/>
                <w:szCs w:val="24"/>
                <w:highlight w:val="none"/>
                <w:lang w:val="en-US" w:eastAsia="zh-CN"/>
              </w:rPr>
              <w:t>该小节</w:t>
            </w:r>
            <w:r>
              <w:rPr>
                <w:rFonts w:ascii="宋体" w:hAnsi="宋体" w:cs="宋体"/>
                <w:b/>
                <w:bCs/>
                <w:color w:val="auto"/>
                <w:sz w:val="24"/>
                <w:szCs w:val="24"/>
                <w:highlight w:val="none"/>
              </w:rPr>
              <w:t>不得分。</w:t>
            </w:r>
          </w:p>
          <w:p w14:paraId="3540C4B9">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snapToGrid w:val="0"/>
                <w:color w:val="auto"/>
                <w:spacing w:val="0"/>
                <w:w w:val="100"/>
                <w:kern w:val="0"/>
                <w:position w:val="0"/>
                <w:sz w:val="24"/>
                <w:szCs w:val="24"/>
                <w:highlight w:val="none"/>
                <w:lang w:val="en-US" w:eastAsia="zh-CN" w:bidi="ar-SA"/>
              </w:rPr>
            </w:pPr>
            <w:r>
              <w:rPr>
                <w:rFonts w:hint="default" w:ascii="宋体" w:hAnsi="宋体" w:eastAsia="宋体" w:cs="宋体"/>
                <w:b/>
                <w:bCs/>
                <w:color w:val="auto"/>
                <w:sz w:val="24"/>
                <w:szCs w:val="24"/>
                <w:highlight w:val="none"/>
                <w:lang w:val="en-US" w:eastAsia="zh-CN"/>
              </w:rPr>
              <w:t>评审依据：依据投标人提供的供货方案进行评审，未提供不得分。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CE3CF6">
            <w:pPr>
              <w:pStyle w:val="30"/>
              <w:keepNext w:val="0"/>
              <w:keepLines w:val="0"/>
              <w:pageBreakBefore w:val="0"/>
              <w:kinsoku/>
              <w:wordWrap/>
              <w:overflowPunct/>
              <w:topLinePunct w:val="0"/>
              <w:bidi w:val="0"/>
              <w:snapToGrid/>
              <w:spacing w:line="360" w:lineRule="auto"/>
              <w:ind w:left="0" w:leftChars="0" w:right="0" w:rightChars="0"/>
              <w:jc w:val="center"/>
              <w:outlineLvl w:val="9"/>
              <w:rPr>
                <w:rFonts w:hint="eastAsia" w:ascii="宋体" w:hAnsi="宋体" w:eastAsia="宋体" w:cs="宋体"/>
                <w:b w:val="0"/>
                <w:bCs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rPr>
              <w:t>5分</w:t>
            </w:r>
          </w:p>
        </w:tc>
      </w:tr>
      <w:tr w14:paraId="0974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left w:val="single" w:color="auto" w:sz="4" w:space="0"/>
              <w:right w:val="single" w:color="auto" w:sz="4" w:space="0"/>
            </w:tcBorders>
            <w:shd w:val="clear" w:color="auto" w:fill="auto"/>
            <w:noWrap w:val="0"/>
            <w:vAlign w:val="center"/>
          </w:tcPr>
          <w:p w14:paraId="5FE7E7FD">
            <w:pPr>
              <w:pStyle w:val="24"/>
              <w:keepNext w:val="0"/>
              <w:keepLines w:val="0"/>
              <w:pageBreakBefore w:val="0"/>
              <w:numPr>
                <w:ilvl w:val="0"/>
                <w:numId w:val="0"/>
              </w:numPr>
              <w:wordWrap/>
              <w:overflowPunct/>
              <w:topLinePunct w:val="0"/>
              <w:bidi w:val="0"/>
              <w:spacing w:line="360" w:lineRule="auto"/>
              <w:ind w:left="0" w:leftChars="0" w:right="0" w:rightChars="0" w:firstLine="0" w:firstLineChars="0"/>
              <w:jc w:val="center"/>
              <w:rPr>
                <w:rFonts w:hint="eastAsia" w:ascii="宋体" w:hAnsi="宋体" w:eastAsia="宋体" w:cs="宋体"/>
                <w:b w:val="0"/>
                <w:bCs w:val="0"/>
                <w:snapToGrid w:val="0"/>
                <w:color w:val="auto"/>
                <w:spacing w:val="0"/>
                <w:w w:val="100"/>
                <w:kern w:val="0"/>
                <w:positio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售后服务方案</w:t>
            </w:r>
          </w:p>
        </w:tc>
        <w:tc>
          <w:tcPr>
            <w:tcW w:w="7636" w:type="dxa"/>
            <w:tcBorders>
              <w:left w:val="single" w:color="auto" w:sz="4" w:space="0"/>
              <w:bottom w:val="single" w:color="auto" w:sz="4" w:space="0"/>
              <w:right w:val="single" w:color="auto" w:sz="4" w:space="0"/>
            </w:tcBorders>
            <w:shd w:val="clear" w:color="auto" w:fill="auto"/>
            <w:noWrap w:val="0"/>
            <w:vAlign w:val="top"/>
          </w:tcPr>
          <w:p w14:paraId="06774EA4">
            <w:pPr>
              <w:pStyle w:val="28"/>
              <w:keepNext w:val="0"/>
              <w:keepLines w:val="0"/>
              <w:pageBreakBefore w:val="0"/>
              <w:numPr>
                <w:ilvl w:val="0"/>
                <w:numId w:val="0"/>
              </w:numPr>
              <w:wordWrap/>
              <w:overflowPunct/>
              <w:topLinePunct w:val="0"/>
              <w:bidi w:val="0"/>
              <w:spacing w:line="360" w:lineRule="auto"/>
              <w:ind w:left="0" w:leftChars="0" w:right="0" w:rightChars="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投标人针对该项目提供</w:t>
            </w:r>
            <w:r>
              <w:rPr>
                <w:rFonts w:hint="eastAsia" w:ascii="宋体" w:hAnsi="宋体" w:eastAsia="宋体" w:cs="宋体"/>
                <w:color w:val="auto"/>
                <w:sz w:val="24"/>
                <w:szCs w:val="24"/>
                <w:highlight w:val="none"/>
                <w:lang w:val="en-US" w:eastAsia="zh-CN"/>
              </w:rPr>
              <w:t>售后服务</w:t>
            </w:r>
            <w:r>
              <w:rPr>
                <w:rFonts w:hint="default"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lang w:val="en-US" w:eastAsia="zh-CN"/>
              </w:rPr>
              <w:t>方案具有以下几点：</w:t>
            </w:r>
          </w:p>
          <w:p w14:paraId="6C2AEA82">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1、服务组织架构与资源保障</w:t>
            </w:r>
          </w:p>
          <w:p w14:paraId="40C90330">
            <w:pPr>
              <w:pStyle w:val="28"/>
              <w:keepNext w:val="0"/>
              <w:keepLines w:val="0"/>
              <w:pageBreakBefore w:val="0"/>
              <w:numPr>
                <w:ilvl w:val="0"/>
                <w:numId w:val="0"/>
              </w:numPr>
              <w:wordWrap/>
              <w:overflowPunct/>
              <w:topLinePunct w:val="0"/>
              <w:bidi w:val="0"/>
              <w:spacing w:line="360" w:lineRule="auto"/>
              <w:ind w:left="0" w:leftChars="0"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2、服务工作内容</w:t>
            </w:r>
          </w:p>
          <w:p w14:paraId="2447AC1C">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3、服务质量标准与保障措施</w:t>
            </w:r>
          </w:p>
          <w:p w14:paraId="681FB7AF">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4、技术培训方案</w:t>
            </w:r>
          </w:p>
          <w:p w14:paraId="28417085">
            <w:pPr>
              <w:pStyle w:val="28"/>
              <w:keepNext w:val="0"/>
              <w:keepLines w:val="0"/>
              <w:pageBreakBefore w:val="0"/>
              <w:numPr>
                <w:ilvl w:val="0"/>
                <w:numId w:val="0"/>
              </w:numPr>
              <w:wordWrap/>
              <w:overflowPunct/>
              <w:topLinePunct w:val="0"/>
              <w:bidi w:val="0"/>
              <w:spacing w:line="360" w:lineRule="auto"/>
              <w:ind w:left="0" w:leftChars="0" w:right="0" w:right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5、备件供应保障</w:t>
            </w:r>
          </w:p>
          <w:p w14:paraId="39D78F21">
            <w:pPr>
              <w:keepNext w:val="0"/>
              <w:keepLines w:val="0"/>
              <w:pageBreakBefore w:val="0"/>
              <w:wordWrap/>
              <w:overflowPunct/>
              <w:topLinePunct w:val="0"/>
              <w:bidi w:val="0"/>
              <w:snapToGrid w:val="0"/>
              <w:spacing w:line="360" w:lineRule="auto"/>
              <w:ind w:left="0" w:leftChars="0" w:right="0" w:rightChars="0"/>
              <w:rPr>
                <w:rFonts w:hint="eastAsia" w:ascii="宋体" w:hAnsi="宋体" w:cs="宋体"/>
                <w:color w:val="auto"/>
                <w:sz w:val="24"/>
                <w:szCs w:val="24"/>
                <w:highlight w:val="none"/>
                <w:shd w:val="clear" w:color="auto" w:fill="FDFDFE"/>
              </w:rPr>
            </w:pPr>
            <w:r>
              <w:rPr>
                <w:rFonts w:ascii="宋体" w:hAnsi="宋体" w:cs="宋体"/>
                <w:b/>
                <w:bCs/>
                <w:color w:val="auto"/>
                <w:sz w:val="24"/>
                <w:szCs w:val="24"/>
                <w:highlight w:val="none"/>
              </w:rPr>
              <w:t>每提供一小节</w:t>
            </w:r>
            <w:r>
              <w:rPr>
                <w:rFonts w:hint="eastAsia" w:ascii="宋体" w:hAnsi="宋体" w:cs="宋体"/>
                <w:b/>
                <w:bCs/>
                <w:color w:val="auto"/>
                <w:sz w:val="24"/>
                <w:szCs w:val="24"/>
                <w:highlight w:val="none"/>
              </w:rPr>
              <w:t>内容详尽，符合项目需求</w:t>
            </w:r>
            <w:r>
              <w:rPr>
                <w:rFonts w:hint="eastAsia" w:ascii="宋体" w:hAnsi="宋体" w:eastAsia="宋体" w:cs="宋体"/>
                <w:b/>
                <w:bCs/>
                <w:color w:val="auto"/>
                <w:sz w:val="24"/>
                <w:szCs w:val="24"/>
                <w:highlight w:val="none"/>
                <w:lang w:val="en-US" w:eastAsia="zh-CN"/>
              </w:rPr>
              <w:t>的</w:t>
            </w:r>
            <w:r>
              <w:rPr>
                <w:rFonts w:ascii="宋体" w:hAnsi="宋体" w:cs="宋体"/>
                <w:b/>
                <w:bCs/>
                <w:color w:val="auto"/>
                <w:sz w:val="24"/>
                <w:szCs w:val="24"/>
                <w:highlight w:val="none"/>
              </w:rPr>
              <w:t>得</w:t>
            </w:r>
            <w:r>
              <w:rPr>
                <w:rFonts w:hint="eastAsia" w:ascii="宋体" w:hAnsi="宋体" w:cs="宋体"/>
                <w:b/>
                <w:bCs/>
                <w:color w:val="auto"/>
                <w:sz w:val="24"/>
                <w:szCs w:val="24"/>
                <w:highlight w:val="none"/>
                <w:lang w:val="en-US" w:eastAsia="zh-CN"/>
              </w:rPr>
              <w:t>1</w:t>
            </w:r>
            <w:r>
              <w:rPr>
                <w:rFonts w:ascii="宋体" w:hAnsi="宋体" w:cs="宋体"/>
                <w:b/>
                <w:bCs/>
                <w:color w:val="auto"/>
                <w:sz w:val="24"/>
                <w:szCs w:val="24"/>
                <w:highlight w:val="none"/>
              </w:rPr>
              <w:t>分，最高得</w:t>
            </w:r>
            <w:r>
              <w:rPr>
                <w:rFonts w:hint="eastAsia" w:ascii="宋体" w:hAnsi="宋体" w:cs="宋体"/>
                <w:b/>
                <w:bCs/>
                <w:color w:val="auto"/>
                <w:sz w:val="24"/>
                <w:szCs w:val="24"/>
                <w:highlight w:val="none"/>
                <w:lang w:val="en-US" w:eastAsia="zh-CN"/>
              </w:rPr>
              <w:t>5</w:t>
            </w:r>
            <w:r>
              <w:rPr>
                <w:rFonts w:ascii="宋体" w:hAnsi="宋体" w:cs="宋体"/>
                <w:b/>
                <w:bCs/>
                <w:color w:val="auto"/>
                <w:sz w:val="24"/>
                <w:szCs w:val="24"/>
                <w:highlight w:val="none"/>
              </w:rPr>
              <w:t>分</w:t>
            </w:r>
            <w:r>
              <w:rPr>
                <w:rFonts w:hint="eastAsia" w:ascii="宋体" w:hAnsi="宋体" w:cs="宋体"/>
                <w:b/>
                <w:bCs/>
                <w:color w:val="auto"/>
                <w:sz w:val="24"/>
                <w:szCs w:val="24"/>
                <w:highlight w:val="none"/>
                <w:lang w:eastAsia="zh-CN"/>
              </w:rPr>
              <w:t>。</w:t>
            </w:r>
          </w:p>
          <w:p w14:paraId="3E25CC63">
            <w:pPr>
              <w:keepNext w:val="0"/>
              <w:keepLines w:val="0"/>
              <w:pageBreakBefore w:val="0"/>
              <w:widowControl/>
              <w:wordWrap/>
              <w:overflowPunct/>
              <w:topLinePunct w:val="0"/>
              <w:bidi w:val="0"/>
              <w:spacing w:line="360" w:lineRule="auto"/>
              <w:ind w:left="0" w:leftChars="0" w:right="0" w:rightChars="0"/>
              <w:jc w:val="left"/>
              <w:rPr>
                <w:rFonts w:hint="eastAsia" w:ascii="宋体" w:hAnsi="宋体" w:cs="宋体"/>
                <w:b/>
                <w:bCs/>
                <w:color w:val="auto"/>
                <w:sz w:val="24"/>
                <w:szCs w:val="24"/>
                <w:highlight w:val="none"/>
              </w:rPr>
            </w:pPr>
            <w:r>
              <w:rPr>
                <w:rFonts w:ascii="宋体" w:hAnsi="宋体" w:cs="宋体"/>
                <w:b/>
                <w:bCs/>
                <w:color w:val="auto"/>
                <w:sz w:val="24"/>
                <w:szCs w:val="24"/>
                <w:highlight w:val="none"/>
              </w:rPr>
              <w:t>注：提供的</w:t>
            </w:r>
            <w:r>
              <w:rPr>
                <w:rFonts w:hint="eastAsia" w:ascii="宋体" w:hAnsi="宋体" w:cs="宋体"/>
                <w:b/>
                <w:bCs/>
                <w:color w:val="auto"/>
                <w:sz w:val="24"/>
                <w:szCs w:val="24"/>
                <w:highlight w:val="none"/>
              </w:rPr>
              <w:t>分析</w:t>
            </w:r>
            <w:r>
              <w:rPr>
                <w:rFonts w:ascii="宋体" w:hAnsi="宋体" w:cs="宋体"/>
                <w:b/>
                <w:bCs/>
                <w:color w:val="auto"/>
                <w:sz w:val="24"/>
                <w:szCs w:val="24"/>
                <w:highlight w:val="none"/>
              </w:rPr>
              <w:t>内容只有标题但缺乏实质性内容、内容与本项目无关或内容明显缺失的</w:t>
            </w:r>
            <w:r>
              <w:rPr>
                <w:rFonts w:hint="eastAsia" w:ascii="宋体" w:hAnsi="宋体" w:cs="宋体"/>
                <w:b/>
                <w:bCs/>
                <w:color w:val="auto"/>
                <w:sz w:val="24"/>
                <w:szCs w:val="24"/>
                <w:highlight w:val="none"/>
                <w:lang w:val="en-US" w:eastAsia="zh-CN"/>
              </w:rPr>
              <w:t>该小节</w:t>
            </w:r>
            <w:r>
              <w:rPr>
                <w:rFonts w:ascii="宋体" w:hAnsi="宋体" w:cs="宋体"/>
                <w:b/>
                <w:bCs/>
                <w:color w:val="auto"/>
                <w:sz w:val="24"/>
                <w:szCs w:val="24"/>
                <w:highlight w:val="none"/>
              </w:rPr>
              <w:t>不得分。</w:t>
            </w:r>
          </w:p>
          <w:p w14:paraId="5127B279">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snapToGrid w:val="0"/>
                <w:color w:val="auto"/>
                <w:spacing w:val="0"/>
                <w:w w:val="100"/>
                <w:kern w:val="0"/>
                <w:positio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评审依据：依据投标人提供的售后服务方案进行评审，未提供不得分。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4F25C2">
            <w:pPr>
              <w:pStyle w:val="30"/>
              <w:keepNext w:val="0"/>
              <w:keepLines w:val="0"/>
              <w:pageBreakBefore w:val="0"/>
              <w:kinsoku/>
              <w:wordWrap/>
              <w:overflowPunct/>
              <w:topLinePunct w:val="0"/>
              <w:bidi w:val="0"/>
              <w:snapToGrid/>
              <w:spacing w:line="360" w:lineRule="auto"/>
              <w:ind w:left="0" w:leftChars="0" w:right="0" w:rightChars="0"/>
              <w:jc w:val="center"/>
              <w:outlineLvl w:val="9"/>
              <w:rPr>
                <w:rFonts w:hint="eastAsia" w:ascii="宋体" w:hAnsi="宋体" w:eastAsia="宋体" w:cs="宋体"/>
                <w:b w:val="0"/>
                <w:bCs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color w:val="auto"/>
                <w:kern w:val="2"/>
                <w:sz w:val="24"/>
                <w:szCs w:val="24"/>
                <w:highlight w:val="none"/>
                <w:lang w:val="en-US" w:eastAsia="zh-CN"/>
              </w:rPr>
              <w:t>5分</w:t>
            </w:r>
          </w:p>
        </w:tc>
      </w:tr>
      <w:tr w14:paraId="43A7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left w:val="single" w:color="auto" w:sz="4" w:space="0"/>
              <w:right w:val="single" w:color="auto" w:sz="4" w:space="0"/>
            </w:tcBorders>
            <w:shd w:val="clear" w:color="auto" w:fill="auto"/>
            <w:noWrap w:val="0"/>
            <w:vAlign w:val="center"/>
          </w:tcPr>
          <w:p w14:paraId="1A014401">
            <w:pPr>
              <w:pStyle w:val="24"/>
              <w:keepNext w:val="0"/>
              <w:keepLines w:val="0"/>
              <w:pageBreakBefore w:val="0"/>
              <w:numPr>
                <w:ilvl w:val="0"/>
                <w:numId w:val="0"/>
              </w:numPr>
              <w:wordWrap/>
              <w:overflowPunct/>
              <w:topLinePunct w:val="0"/>
              <w:bidi w:val="0"/>
              <w:spacing w:line="360" w:lineRule="auto"/>
              <w:ind w:left="0" w:leftChars="0" w:right="0" w:righ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体系认证</w:t>
            </w:r>
          </w:p>
        </w:tc>
        <w:tc>
          <w:tcPr>
            <w:tcW w:w="7636" w:type="dxa"/>
            <w:tcBorders>
              <w:left w:val="single" w:color="auto" w:sz="4" w:space="0"/>
              <w:bottom w:val="single" w:color="auto" w:sz="4" w:space="0"/>
              <w:right w:val="single" w:color="auto" w:sz="4" w:space="0"/>
            </w:tcBorders>
            <w:shd w:val="clear" w:color="auto" w:fill="auto"/>
            <w:noWrap w:val="0"/>
            <w:vAlign w:val="top"/>
          </w:tcPr>
          <w:p w14:paraId="244F57F9">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核心产品制造商具备：</w:t>
            </w:r>
          </w:p>
          <w:p w14:paraId="1C848F84">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质量管理体系认证（ISO9001）</w:t>
            </w:r>
          </w:p>
          <w:p w14:paraId="4F39C5A2">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环境管理体系认证（ISO14001）</w:t>
            </w:r>
          </w:p>
          <w:p w14:paraId="1ACA7E65">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职业健康安全管理体系认证（ISO45001）</w:t>
            </w:r>
          </w:p>
          <w:p w14:paraId="145A8CEB">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每提供一个有效期内的认证证书得1分，最高3分。</w:t>
            </w:r>
          </w:p>
          <w:p w14:paraId="223CF430">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评审依据：证书扫描件加盖投标人公章，未提供不得分。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FC7AC7">
            <w:pPr>
              <w:pStyle w:val="30"/>
              <w:keepNext w:val="0"/>
              <w:keepLines w:val="0"/>
              <w:pageBreakBefore w:val="0"/>
              <w:kinsoku/>
              <w:wordWrap/>
              <w:overflowPunct/>
              <w:topLinePunct w:val="0"/>
              <w:bidi w:val="0"/>
              <w:snapToGrid/>
              <w:spacing w:line="360" w:lineRule="auto"/>
              <w:ind w:left="0" w:leftChars="0" w:right="0" w:rightChars="0"/>
              <w:jc w:val="center"/>
              <w:outlineLvl w:val="9"/>
              <w:rPr>
                <w:rFonts w:hint="default"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3分</w:t>
            </w:r>
          </w:p>
        </w:tc>
      </w:tr>
      <w:tr w14:paraId="3E1B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103CF018">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val="0"/>
                <w:bCs w:val="0"/>
                <w:color w:val="auto"/>
                <w:spacing w:val="0"/>
                <w:w w:val="100"/>
                <w:kern w:val="0"/>
                <w:position w:val="0"/>
                <w:sz w:val="24"/>
                <w:szCs w:val="24"/>
              </w:rPr>
            </w:pPr>
            <w:r>
              <w:rPr>
                <w:rFonts w:hint="eastAsia" w:ascii="宋体" w:hAnsi="宋体" w:eastAsia="宋体" w:cs="宋体"/>
                <w:b/>
                <w:bCs/>
                <w:color w:val="auto"/>
                <w:spacing w:val="0"/>
                <w:w w:val="100"/>
                <w:kern w:val="0"/>
                <w:position w:val="0"/>
                <w:sz w:val="24"/>
                <w:szCs w:val="24"/>
              </w:rPr>
              <w:t>（三）商务部分（</w:t>
            </w:r>
            <w:r>
              <w:rPr>
                <w:rFonts w:hint="eastAsia" w:ascii="宋体" w:hAnsi="宋体" w:eastAsia="宋体" w:cs="宋体"/>
                <w:b/>
                <w:bCs/>
                <w:color w:val="auto"/>
                <w:spacing w:val="0"/>
                <w:w w:val="100"/>
                <w:kern w:val="0"/>
                <w:position w:val="0"/>
                <w:sz w:val="24"/>
                <w:szCs w:val="24"/>
                <w:lang w:val="en-US" w:eastAsia="zh-CN"/>
              </w:rPr>
              <w:t>12</w:t>
            </w:r>
            <w:r>
              <w:rPr>
                <w:rFonts w:hint="eastAsia" w:ascii="宋体" w:hAnsi="宋体" w:eastAsia="宋体" w:cs="宋体"/>
                <w:b/>
                <w:bCs/>
                <w:color w:val="auto"/>
                <w:spacing w:val="0"/>
                <w:w w:val="100"/>
                <w:kern w:val="0"/>
                <w:position w:val="0"/>
                <w:sz w:val="24"/>
                <w:szCs w:val="24"/>
              </w:rPr>
              <w:t>分）</w:t>
            </w:r>
          </w:p>
        </w:tc>
      </w:tr>
      <w:tr w14:paraId="708B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2C3E2A48">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bCs/>
                <w:color w:val="auto"/>
                <w:spacing w:val="0"/>
                <w:w w:val="100"/>
                <w:kern w:val="0"/>
                <w:position w:val="0"/>
                <w:sz w:val="24"/>
                <w:szCs w:val="24"/>
              </w:rPr>
            </w:pPr>
            <w:r>
              <w:rPr>
                <w:rFonts w:hint="eastAsia" w:ascii="宋体" w:hAnsi="宋体" w:eastAsia="宋体" w:cs="宋体"/>
                <w:b/>
                <w:bCs/>
                <w:color w:val="auto"/>
                <w:spacing w:val="0"/>
                <w:w w:val="100"/>
                <w:kern w:val="0"/>
                <w:position w:val="0"/>
                <w:sz w:val="24"/>
                <w:szCs w:val="24"/>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2355EECC">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bCs/>
                <w:color w:val="auto"/>
                <w:spacing w:val="0"/>
                <w:w w:val="100"/>
                <w:kern w:val="0"/>
                <w:position w:val="0"/>
                <w:sz w:val="24"/>
                <w:szCs w:val="24"/>
              </w:rPr>
            </w:pPr>
            <w:r>
              <w:rPr>
                <w:rFonts w:hint="eastAsia" w:ascii="宋体" w:hAnsi="宋体" w:eastAsia="宋体" w:cs="宋体"/>
                <w:b/>
                <w:bCs/>
                <w:color w:val="auto"/>
                <w:spacing w:val="0"/>
                <w:w w:val="100"/>
                <w:kern w:val="0"/>
                <w:position w:val="0"/>
                <w:sz w:val="24"/>
                <w:szCs w:val="24"/>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7E04834">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bCs/>
                <w:color w:val="auto"/>
                <w:spacing w:val="0"/>
                <w:w w:val="100"/>
                <w:kern w:val="0"/>
                <w:position w:val="0"/>
                <w:sz w:val="24"/>
                <w:szCs w:val="24"/>
              </w:rPr>
            </w:pPr>
            <w:r>
              <w:rPr>
                <w:rFonts w:hint="eastAsia" w:ascii="宋体" w:hAnsi="宋体" w:eastAsia="宋体" w:cs="宋体"/>
                <w:b/>
                <w:bCs/>
                <w:color w:val="auto"/>
                <w:spacing w:val="0"/>
                <w:w w:val="100"/>
                <w:kern w:val="0"/>
                <w:position w:val="0"/>
                <w:sz w:val="24"/>
                <w:szCs w:val="24"/>
              </w:rPr>
              <w:t>分值</w:t>
            </w:r>
          </w:p>
        </w:tc>
      </w:tr>
      <w:tr w14:paraId="3304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6DE9BBA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center"/>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商务条款</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7AF921E6">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both"/>
              <w:rPr>
                <w:rFonts w:hint="eastAsia" w:ascii="宋体" w:hAnsi="宋体" w:eastAsia="宋体" w:cs="宋体"/>
                <w:b w:val="0"/>
                <w:bCs w:val="0"/>
                <w:color w:val="auto"/>
                <w:spacing w:val="0"/>
                <w:w w:val="100"/>
                <w:position w:val="0"/>
                <w:sz w:val="24"/>
                <w:szCs w:val="24"/>
                <w:highlight w:val="none"/>
              </w:rPr>
            </w:pPr>
            <w:r>
              <w:rPr>
                <w:rFonts w:hint="eastAsia" w:ascii="宋体" w:hAnsi="宋体" w:eastAsia="宋体" w:cs="宋体"/>
                <w:b w:val="0"/>
                <w:bCs w:val="0"/>
                <w:color w:val="auto"/>
                <w:spacing w:val="0"/>
                <w:w w:val="100"/>
                <w:position w:val="0"/>
                <w:sz w:val="24"/>
                <w:szCs w:val="24"/>
                <w:highlight w:val="none"/>
              </w:rPr>
              <w:t>完全响应招标文件“</w:t>
            </w:r>
            <w:r>
              <w:rPr>
                <w:rFonts w:hint="eastAsia" w:asciiTheme="minorEastAsia" w:hAnsiTheme="minorEastAsia" w:eastAsiaTheme="minorEastAsia" w:cstheme="minorEastAsia"/>
                <w:b w:val="0"/>
                <w:bCs w:val="0"/>
                <w:color w:val="auto"/>
                <w:sz w:val="24"/>
                <w:szCs w:val="24"/>
                <w:highlight w:val="none"/>
                <w:lang w:val="en-US" w:eastAsia="zh-CN"/>
              </w:rPr>
              <w:t>第五章 货物需求表及采购需求”二、商务条款</w:t>
            </w:r>
            <w:r>
              <w:rPr>
                <w:rFonts w:hint="eastAsia" w:ascii="宋体" w:hAnsi="宋体" w:eastAsia="宋体" w:cs="宋体"/>
                <w:b w:val="0"/>
                <w:bCs w:val="0"/>
                <w:color w:val="auto"/>
                <w:spacing w:val="0"/>
                <w:w w:val="100"/>
                <w:position w:val="0"/>
                <w:sz w:val="24"/>
                <w:szCs w:val="24"/>
                <w:highlight w:val="none"/>
              </w:rPr>
              <w:t>中所有实质性条款，任何一项不满足投标无效。</w:t>
            </w:r>
          </w:p>
          <w:p w14:paraId="787FC515">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firstLine="0" w:firstLineChars="0"/>
              <w:jc w:val="both"/>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pacing w:val="0"/>
                <w:w w:val="100"/>
                <w:position w:val="0"/>
                <w:sz w:val="24"/>
                <w:szCs w:val="24"/>
                <w:highlight w:val="none"/>
              </w:rPr>
              <w:t>评审依据：</w:t>
            </w:r>
            <w:r>
              <w:rPr>
                <w:rFonts w:hint="eastAsia" w:ascii="宋体" w:hAnsi="宋体" w:eastAsia="宋体" w:cs="宋体"/>
                <w:b/>
                <w:bCs/>
                <w:color w:val="auto"/>
                <w:spacing w:val="0"/>
                <w:w w:val="100"/>
                <w:position w:val="0"/>
                <w:sz w:val="24"/>
                <w:szCs w:val="24"/>
                <w:highlight w:val="none"/>
                <w:lang w:val="en-US" w:eastAsia="zh-CN"/>
              </w:rPr>
              <w:t>商务需求</w:t>
            </w:r>
            <w:r>
              <w:rPr>
                <w:rFonts w:hint="eastAsia" w:ascii="宋体" w:hAnsi="宋体" w:eastAsia="宋体" w:cs="宋体"/>
                <w:b/>
                <w:bCs/>
                <w:color w:val="auto"/>
                <w:spacing w:val="0"/>
                <w:w w:val="100"/>
                <w:position w:val="0"/>
                <w:sz w:val="24"/>
                <w:szCs w:val="24"/>
                <w:highlight w:val="none"/>
              </w:rPr>
              <w:t>响应</w:t>
            </w:r>
            <w:r>
              <w:rPr>
                <w:rFonts w:hint="eastAsia" w:ascii="宋体" w:hAnsi="宋体" w:eastAsia="宋体" w:cs="宋体"/>
                <w:b/>
                <w:bCs/>
                <w:color w:val="auto"/>
                <w:spacing w:val="0"/>
                <w:w w:val="100"/>
                <w:position w:val="0"/>
                <w:sz w:val="24"/>
                <w:szCs w:val="24"/>
                <w:highlight w:val="none"/>
                <w:lang w:val="en-US" w:eastAsia="zh-CN"/>
              </w:rPr>
              <w:t>/</w:t>
            </w:r>
            <w:r>
              <w:rPr>
                <w:rFonts w:hint="eastAsia" w:ascii="宋体" w:hAnsi="宋体" w:eastAsia="宋体" w:cs="宋体"/>
                <w:b/>
                <w:bCs/>
                <w:color w:val="auto"/>
                <w:spacing w:val="0"/>
                <w:w w:val="100"/>
                <w:position w:val="0"/>
                <w:sz w:val="24"/>
                <w:szCs w:val="24"/>
                <w:highlight w:val="none"/>
              </w:rPr>
              <w:t>偏离表。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89767F3">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right="0" w:rightChars="0"/>
              <w:jc w:val="center"/>
              <w:rPr>
                <w:rFonts w:hint="eastAsia" w:ascii="宋体" w:hAnsi="宋体" w:eastAsia="宋体" w:cs="宋体"/>
                <w:b w:val="0"/>
                <w:bCs w:val="0"/>
                <w:color w:val="auto"/>
                <w:spacing w:val="0"/>
                <w:w w:val="100"/>
                <w:kern w:val="0"/>
                <w:position w:val="0"/>
                <w:sz w:val="24"/>
                <w:szCs w:val="24"/>
              </w:rPr>
            </w:pPr>
            <w:r>
              <w:rPr>
                <w:rFonts w:hint="eastAsia" w:ascii="宋体" w:hAnsi="宋体" w:eastAsia="宋体" w:cs="宋体"/>
                <w:b w:val="0"/>
                <w:bCs w:val="0"/>
                <w:color w:val="auto"/>
                <w:spacing w:val="0"/>
                <w:w w:val="100"/>
                <w:position w:val="0"/>
                <w:sz w:val="24"/>
                <w:szCs w:val="24"/>
              </w:rPr>
              <w:t>符合性审查</w:t>
            </w:r>
          </w:p>
        </w:tc>
      </w:tr>
      <w:tr w14:paraId="5C74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2C2136">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textAlignment w:val="auto"/>
              <w:rPr>
                <w:rFonts w:hint="eastAsia" w:ascii="宋体" w:hAnsi="宋体" w:eastAsia="宋体" w:cs="宋体"/>
                <w:b w:val="0"/>
                <w:bCs w:val="0"/>
                <w:snapToGrid w:val="0"/>
                <w:color w:val="auto"/>
                <w:spacing w:val="0"/>
                <w:w w:val="100"/>
                <w:kern w:val="0"/>
                <w:position w:val="0"/>
                <w:sz w:val="24"/>
                <w:szCs w:val="24"/>
                <w:highlight w:val="none"/>
                <w:lang w:val="en-US" w:eastAsia="zh-CN" w:bidi="ar-SA"/>
              </w:rPr>
            </w:pPr>
            <w:r>
              <w:rPr>
                <w:rStyle w:val="31"/>
                <w:rFonts w:hint="eastAsia" w:ascii="宋体" w:hAnsi="宋体" w:cs="宋体"/>
                <w:b/>
                <w:color w:val="auto"/>
                <w:sz w:val="24"/>
                <w:szCs w:val="24"/>
                <w:highlight w:val="none"/>
                <w:lang w:eastAsia="zh-Hans"/>
              </w:rPr>
              <w:t>业绩</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39C76C">
            <w:pPr>
              <w:pStyle w:val="28"/>
              <w:keepNext w:val="0"/>
              <w:keepLines w:val="0"/>
              <w:pageBreakBefore w:val="0"/>
              <w:numPr>
                <w:ilvl w:val="0"/>
                <w:numId w:val="0"/>
              </w:numPr>
              <w:wordWrap/>
              <w:overflowPunct/>
              <w:topLinePunct w:val="0"/>
              <w:bidi w:val="0"/>
              <w:spacing w:line="360" w:lineRule="auto"/>
              <w:ind w:left="0" w:leftChars="0"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w:t>
            </w:r>
            <w:r>
              <w:rPr>
                <w:rFonts w:hint="eastAsia" w:hAnsi="宋体" w:cs="宋体"/>
                <w:color w:val="auto"/>
                <w:sz w:val="24"/>
                <w:szCs w:val="24"/>
                <w:highlight w:val="none"/>
                <w:lang w:val="en-US" w:eastAsia="zh-CN"/>
              </w:rPr>
              <w:t>自2023年1月1日以来至本项目开标前（以合同签订时间为准）</w:t>
            </w:r>
            <w:r>
              <w:rPr>
                <w:rFonts w:hint="eastAsia" w:ascii="宋体" w:hAnsi="宋体" w:eastAsia="宋体" w:cs="宋体"/>
                <w:color w:val="auto"/>
                <w:sz w:val="24"/>
                <w:szCs w:val="24"/>
                <w:highlight w:val="none"/>
                <w:lang w:val="en-US" w:eastAsia="zh-CN"/>
              </w:rPr>
              <w:t>具备类似</w:t>
            </w:r>
            <w:r>
              <w:rPr>
                <w:rFonts w:hint="eastAsia" w:hAnsi="宋体" w:cs="宋体"/>
                <w:color w:val="auto"/>
                <w:sz w:val="24"/>
                <w:szCs w:val="24"/>
                <w:highlight w:val="none"/>
                <w:lang w:val="en-US" w:eastAsia="zh-CN"/>
              </w:rPr>
              <w:t>业绩</w:t>
            </w:r>
            <w:r>
              <w:rPr>
                <w:rFonts w:hint="eastAsia" w:ascii="宋体" w:hAnsi="宋体" w:eastAsia="宋体" w:cs="宋体"/>
                <w:color w:val="auto"/>
                <w:sz w:val="24"/>
                <w:szCs w:val="24"/>
                <w:highlight w:val="none"/>
                <w:lang w:val="en-US" w:eastAsia="zh-CN"/>
              </w:rPr>
              <w:t>，提供一份得</w:t>
            </w:r>
            <w:r>
              <w:rPr>
                <w:rFonts w:hint="eastAsia" w:hAnsi="宋体"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分，最高得</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32F1E556">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snapToGrid w:val="0"/>
                <w:color w:val="auto"/>
                <w:spacing w:val="0"/>
                <w:w w:val="100"/>
                <w:kern w:val="2"/>
                <w:positio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评审依据：提供中标</w:t>
            </w:r>
            <w:r>
              <w:rPr>
                <w:rFonts w:hint="eastAsia" w:hAnsi="宋体" w:cs="宋体"/>
                <w:b/>
                <w:bCs/>
                <w:color w:val="auto"/>
                <w:sz w:val="24"/>
                <w:szCs w:val="24"/>
                <w:highlight w:val="none"/>
                <w:lang w:val="en-US" w:eastAsia="zh-CN"/>
              </w:rPr>
              <w:t>（成交）</w:t>
            </w:r>
            <w:r>
              <w:rPr>
                <w:rFonts w:hint="eastAsia" w:ascii="宋体" w:hAnsi="宋体" w:eastAsia="宋体" w:cs="宋体"/>
                <w:b/>
                <w:bCs/>
                <w:color w:val="auto"/>
                <w:sz w:val="24"/>
                <w:szCs w:val="24"/>
                <w:highlight w:val="none"/>
                <w:lang w:val="en-US" w:eastAsia="zh-CN"/>
              </w:rPr>
              <w:t>公示</w:t>
            </w:r>
            <w:r>
              <w:rPr>
                <w:rFonts w:hint="eastAsia" w:hAnsi="宋体" w:cs="宋体"/>
                <w:b/>
                <w:bCs/>
                <w:color w:val="auto"/>
                <w:sz w:val="24"/>
                <w:szCs w:val="24"/>
                <w:highlight w:val="none"/>
                <w:lang w:val="en-US" w:eastAsia="zh-CN"/>
              </w:rPr>
              <w:t>网站</w:t>
            </w:r>
            <w:r>
              <w:rPr>
                <w:rFonts w:hint="eastAsia" w:ascii="宋体" w:hAnsi="宋体" w:eastAsia="宋体" w:cs="宋体"/>
                <w:b/>
                <w:bCs/>
                <w:color w:val="auto"/>
                <w:sz w:val="24"/>
                <w:szCs w:val="24"/>
                <w:highlight w:val="none"/>
                <w:lang w:val="en-US" w:eastAsia="zh-CN"/>
              </w:rPr>
              <w:t>页面截图、中标</w:t>
            </w:r>
            <w:r>
              <w:rPr>
                <w:rFonts w:hint="eastAsia" w:hAnsi="宋体" w:cs="宋体"/>
                <w:b/>
                <w:bCs/>
                <w:color w:val="auto"/>
                <w:sz w:val="24"/>
                <w:szCs w:val="24"/>
                <w:highlight w:val="none"/>
                <w:lang w:val="en-US" w:eastAsia="zh-CN"/>
              </w:rPr>
              <w:t>（成交）</w:t>
            </w:r>
            <w:r>
              <w:rPr>
                <w:rFonts w:hint="eastAsia" w:ascii="宋体" w:hAnsi="宋体" w:eastAsia="宋体" w:cs="宋体"/>
                <w:b/>
                <w:bCs/>
                <w:color w:val="auto"/>
                <w:sz w:val="24"/>
                <w:szCs w:val="24"/>
                <w:highlight w:val="none"/>
                <w:lang w:val="en-US" w:eastAsia="zh-CN"/>
              </w:rPr>
              <w:t>通知书</w:t>
            </w:r>
            <w:r>
              <w:rPr>
                <w:rFonts w:hint="eastAsia" w:hAnsi="宋体" w:eastAsia="宋体" w:cs="宋体"/>
                <w:b/>
                <w:bCs/>
                <w:color w:val="auto"/>
                <w:sz w:val="24"/>
                <w:szCs w:val="24"/>
                <w:highlight w:val="none"/>
                <w:lang w:val="en-US" w:eastAsia="zh-CN"/>
              </w:rPr>
              <w:t>扫描件</w:t>
            </w:r>
            <w:r>
              <w:rPr>
                <w:rFonts w:hint="eastAsia" w:ascii="宋体" w:hAnsi="宋体" w:eastAsia="宋体" w:cs="宋体"/>
                <w:b/>
                <w:bCs/>
                <w:color w:val="auto"/>
                <w:sz w:val="24"/>
                <w:szCs w:val="24"/>
                <w:highlight w:val="none"/>
                <w:lang w:val="en-US" w:eastAsia="zh-CN"/>
              </w:rPr>
              <w:t>及合同</w:t>
            </w:r>
            <w:r>
              <w:rPr>
                <w:rFonts w:hint="eastAsia" w:hAnsi="宋体" w:eastAsia="宋体" w:cs="宋体"/>
                <w:b/>
                <w:bCs/>
                <w:color w:val="auto"/>
                <w:sz w:val="24"/>
                <w:szCs w:val="24"/>
                <w:highlight w:val="none"/>
                <w:lang w:val="en-US" w:eastAsia="zh-CN"/>
              </w:rPr>
              <w:t>扫描件</w:t>
            </w:r>
            <w:r>
              <w:rPr>
                <w:rFonts w:hint="eastAsia" w:ascii="宋体" w:hAnsi="宋体" w:eastAsia="宋体" w:cs="宋体"/>
                <w:b/>
                <w:bCs/>
                <w:color w:val="auto"/>
                <w:sz w:val="24"/>
                <w:szCs w:val="24"/>
                <w:highlight w:val="none"/>
                <w:lang w:val="en-US" w:eastAsia="zh-CN"/>
              </w:rPr>
              <w:t>加盖投标人公章，未提供不得分。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E5AD48">
            <w:pPr>
              <w:pStyle w:val="30"/>
              <w:keepNext w:val="0"/>
              <w:keepLines w:val="0"/>
              <w:pageBreakBefore w:val="0"/>
              <w:kinsoku/>
              <w:wordWrap/>
              <w:overflowPunct/>
              <w:topLinePunct w:val="0"/>
              <w:bidi w:val="0"/>
              <w:snapToGrid/>
              <w:spacing w:line="360" w:lineRule="auto"/>
              <w:ind w:left="0" w:leftChars="0" w:right="0" w:rightChars="0"/>
              <w:jc w:val="center"/>
              <w:outlineLvl w:val="9"/>
              <w:rPr>
                <w:rFonts w:hint="default" w:ascii="宋体" w:hAnsi="宋体" w:eastAsia="宋体" w:cs="宋体"/>
                <w:b w:val="0"/>
                <w:bCs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rPr>
              <w:t>6分</w:t>
            </w:r>
          </w:p>
        </w:tc>
      </w:tr>
      <w:tr w14:paraId="43CA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D302A">
            <w:pPr>
              <w:keepNext w:val="0"/>
              <w:keepLines w:val="0"/>
              <w:pageBreakBefore w:val="0"/>
              <w:widowControl/>
              <w:kinsoku/>
              <w:wordWrap/>
              <w:overflowPunct/>
              <w:topLinePunct w:val="0"/>
              <w:autoSpaceDE/>
              <w:autoSpaceDN/>
              <w:bidi w:val="0"/>
              <w:adjustRightInd/>
              <w:snapToGrid/>
              <w:spacing w:line="360" w:lineRule="auto"/>
              <w:ind w:left="105" w:leftChars="50" w:right="105" w:rightChars="50"/>
              <w:jc w:val="center"/>
              <w:textAlignment w:val="auto"/>
              <w:rPr>
                <w:rFonts w:hint="eastAsia" w:ascii="宋体" w:hAnsi="宋体" w:eastAsia="宋体" w:cs="宋体"/>
                <w:b w:val="0"/>
                <w:bCs w:val="0"/>
                <w:snapToGrid w:val="0"/>
                <w:color w:val="auto"/>
                <w:spacing w:val="0"/>
                <w:w w:val="100"/>
                <w:kern w:val="0"/>
                <w:position w:val="0"/>
                <w:sz w:val="24"/>
                <w:szCs w:val="24"/>
                <w:highlight w:val="none"/>
                <w:lang w:val="en-US" w:eastAsia="zh-Hans" w:bidi="ar-SA"/>
              </w:rPr>
            </w:pPr>
            <w:r>
              <w:rPr>
                <w:rStyle w:val="31"/>
                <w:rFonts w:hint="eastAsia" w:ascii="宋体" w:hAnsi="宋体" w:eastAsia="宋体" w:cs="宋体"/>
                <w:b/>
                <w:color w:val="auto"/>
                <w:sz w:val="24"/>
                <w:szCs w:val="24"/>
                <w:highlight w:val="none"/>
                <w:lang w:val="en-US" w:eastAsia="zh-CN"/>
              </w:rPr>
              <w:t>售后</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3B6F5B">
            <w:pPr>
              <w:pStyle w:val="28"/>
              <w:keepNext w:val="0"/>
              <w:keepLines w:val="0"/>
              <w:pageBreakBefore w:val="0"/>
              <w:numPr>
                <w:ilvl w:val="0"/>
                <w:numId w:val="0"/>
              </w:numPr>
              <w:overflowPunct/>
              <w:topLinePunct w:val="0"/>
              <w:bidi w:val="0"/>
              <w:spacing w:line="360" w:lineRule="auto"/>
              <w:rPr>
                <w:rFonts w:hint="eastAsia" w:ascii="宋体" w:hAnsi="宋体" w:cs="宋体"/>
                <w:color w:val="auto"/>
                <w:sz w:val="24"/>
                <w:szCs w:val="24"/>
                <w:highlight w:val="none"/>
                <w:lang w:val="zh-CN" w:eastAsia="zh-CN"/>
              </w:rPr>
            </w:pPr>
            <w:r>
              <w:rPr>
                <w:rFonts w:hint="eastAsia" w:ascii="宋体" w:hAnsi="宋体" w:cs="宋体"/>
                <w:color w:val="auto"/>
                <w:sz w:val="24"/>
                <w:szCs w:val="24"/>
                <w:highlight w:val="none"/>
                <w:lang w:val="zh-CN" w:eastAsia="zh-CN"/>
              </w:rPr>
              <w:t>所投产品质保期</w:t>
            </w:r>
            <w:r>
              <w:rPr>
                <w:rFonts w:hint="eastAsia" w:ascii="宋体" w:hAnsi="宋体" w:cs="宋体"/>
                <w:color w:val="auto"/>
                <w:sz w:val="24"/>
                <w:szCs w:val="24"/>
                <w:highlight w:val="none"/>
                <w:lang w:val="en-US" w:eastAsia="zh-CN"/>
              </w:rPr>
              <w:t>在满足招标文件的基础上，</w:t>
            </w:r>
            <w:r>
              <w:rPr>
                <w:rFonts w:hint="eastAsia" w:ascii="宋体" w:hAnsi="宋体" w:cs="宋体"/>
                <w:color w:val="auto"/>
                <w:sz w:val="24"/>
                <w:szCs w:val="24"/>
                <w:highlight w:val="none"/>
                <w:lang w:val="zh-CN" w:eastAsia="zh-CN"/>
              </w:rPr>
              <w:t>每增加一年得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val="zh-CN" w:eastAsia="zh-CN"/>
              </w:rPr>
              <w:t>分，最高得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val="zh-CN" w:eastAsia="zh-CN"/>
              </w:rPr>
              <w:t>分；</w:t>
            </w:r>
          </w:p>
          <w:p w14:paraId="41C8E893">
            <w:pPr>
              <w:pStyle w:val="28"/>
              <w:keepNext w:val="0"/>
              <w:keepLines w:val="0"/>
              <w:pageBreakBefore w:val="0"/>
              <w:numPr>
                <w:ilvl w:val="0"/>
                <w:numId w:val="0"/>
              </w:numPr>
              <w:overflowPunct/>
              <w:topLinePunct w:val="0"/>
              <w:bidi w:val="0"/>
              <w:spacing w:line="360" w:lineRule="auto"/>
              <w:ind w:left="0" w:leftChars="0" w:firstLine="0" w:firstLineChars="0"/>
              <w:rPr>
                <w:rFonts w:hint="default" w:ascii="宋体" w:hAnsi="宋体" w:eastAsia="宋体" w:cs="宋体"/>
                <w:b w:val="0"/>
                <w:bCs w:val="0"/>
                <w:snapToGrid w:val="0"/>
                <w:color w:val="auto"/>
                <w:spacing w:val="0"/>
                <w:w w:val="100"/>
                <w:kern w:val="0"/>
                <w:position w:val="0"/>
                <w:sz w:val="24"/>
                <w:szCs w:val="24"/>
                <w:highlight w:val="none"/>
                <w:lang w:val="en-US" w:eastAsia="zh-CN" w:bidi="ar-SA"/>
              </w:rPr>
            </w:pPr>
            <w:r>
              <w:rPr>
                <w:rFonts w:hint="eastAsia" w:ascii="宋体" w:hAnsi="宋体" w:cs="宋体"/>
                <w:b/>
                <w:bCs/>
                <w:color w:val="auto"/>
                <w:sz w:val="24"/>
                <w:szCs w:val="24"/>
                <w:highlight w:val="none"/>
                <w:lang w:val="zh-CN" w:eastAsia="zh-CN"/>
              </w:rPr>
              <w:t>评分依据：提供承诺函加盖</w:t>
            </w:r>
            <w:r>
              <w:rPr>
                <w:rFonts w:hint="eastAsia" w:hAnsi="宋体" w:cs="宋体"/>
                <w:b/>
                <w:bCs/>
                <w:color w:val="auto"/>
                <w:sz w:val="24"/>
                <w:szCs w:val="24"/>
                <w:highlight w:val="none"/>
                <w:lang w:val="en-US" w:eastAsia="zh-CN"/>
              </w:rPr>
              <w:t>投标人</w:t>
            </w:r>
            <w:r>
              <w:rPr>
                <w:rFonts w:hint="eastAsia" w:ascii="宋体" w:hAnsi="宋体" w:cs="宋体"/>
                <w:b/>
                <w:bCs/>
                <w:color w:val="auto"/>
                <w:sz w:val="24"/>
                <w:szCs w:val="24"/>
                <w:highlight w:val="none"/>
                <w:lang w:val="zh-CN" w:eastAsia="zh-CN"/>
              </w:rPr>
              <w:t>公章。</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9E764D">
            <w:pPr>
              <w:pStyle w:val="30"/>
              <w:keepNext w:val="0"/>
              <w:keepLines w:val="0"/>
              <w:pageBreakBefore w:val="0"/>
              <w:kinsoku/>
              <w:wordWrap/>
              <w:overflowPunct/>
              <w:topLinePunct w:val="0"/>
              <w:bidi w:val="0"/>
              <w:snapToGrid/>
              <w:spacing w:line="360" w:lineRule="auto"/>
              <w:jc w:val="center"/>
              <w:outlineLvl w:val="9"/>
              <w:rPr>
                <w:rFonts w:hint="default" w:ascii="宋体" w:hAnsi="宋体" w:eastAsia="宋体" w:cs="宋体"/>
                <w:b w:val="0"/>
                <w:bCs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rPr>
              <w:t>3分</w:t>
            </w:r>
          </w:p>
        </w:tc>
      </w:tr>
      <w:tr w14:paraId="7BD0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8FCB76">
            <w:pPr>
              <w:keepNext w:val="0"/>
              <w:keepLines w:val="0"/>
              <w:pageBreakBefore w:val="0"/>
              <w:widowControl/>
              <w:kinsoku/>
              <w:wordWrap/>
              <w:overflowPunct/>
              <w:topLinePunct w:val="0"/>
              <w:autoSpaceDE/>
              <w:autoSpaceDN/>
              <w:bidi w:val="0"/>
              <w:adjustRightInd/>
              <w:snapToGrid/>
              <w:spacing w:line="360" w:lineRule="auto"/>
              <w:ind w:left="105" w:leftChars="50" w:right="105" w:rightChars="50"/>
              <w:jc w:val="center"/>
              <w:textAlignment w:val="auto"/>
              <w:rPr>
                <w:rFonts w:hint="eastAsia" w:ascii="宋体" w:hAnsi="宋体" w:eastAsia="宋体" w:cs="宋体"/>
                <w:b/>
                <w:color w:val="auto"/>
                <w:kern w:val="2"/>
                <w:sz w:val="24"/>
                <w:szCs w:val="24"/>
                <w:highlight w:val="none"/>
                <w:lang w:val="en-US" w:eastAsia="zh-CN" w:bidi="ar-SA"/>
              </w:rPr>
            </w:pPr>
            <w:r>
              <w:rPr>
                <w:rStyle w:val="31"/>
                <w:rFonts w:hint="eastAsia" w:ascii="宋体" w:hAnsi="宋体" w:eastAsia="宋体" w:cs="宋体"/>
                <w:b/>
                <w:color w:val="auto"/>
                <w:sz w:val="24"/>
                <w:szCs w:val="24"/>
                <w:highlight w:val="none"/>
                <w:lang w:val="en-US" w:eastAsia="zh-CN"/>
              </w:rPr>
              <w:t>响应时间</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35F22B">
            <w:pPr>
              <w:pStyle w:val="28"/>
              <w:keepNext w:val="0"/>
              <w:keepLines w:val="0"/>
              <w:pageBreakBefore w:val="0"/>
              <w:numPr>
                <w:ilvl w:val="0"/>
                <w:numId w:val="0"/>
              </w:numPr>
              <w:overflowPunct/>
              <w:topLinePunct w:val="0"/>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接到釆购人要求供货的通知后，投标人</w:t>
            </w:r>
            <w:r>
              <w:rPr>
                <w:rFonts w:hint="eastAsia" w:hAnsi="宋体" w:eastAsia="宋体" w:cs="宋体"/>
                <w:b w:val="0"/>
                <w:bCs w:val="0"/>
                <w:color w:val="auto"/>
                <w:sz w:val="24"/>
                <w:szCs w:val="24"/>
                <w:highlight w:val="none"/>
                <w:lang w:val="en-US" w:eastAsia="zh-CN"/>
              </w:rPr>
              <w:t>4天</w:t>
            </w:r>
            <w:r>
              <w:rPr>
                <w:rFonts w:hint="eastAsia" w:ascii="宋体" w:hAnsi="宋体" w:eastAsia="宋体" w:cs="宋体"/>
                <w:b w:val="0"/>
                <w:bCs w:val="0"/>
                <w:color w:val="auto"/>
                <w:sz w:val="24"/>
                <w:szCs w:val="24"/>
                <w:highlight w:val="none"/>
                <w:lang w:val="en-US" w:eastAsia="zh-CN"/>
              </w:rPr>
              <w:t>内将货运至现场得</w:t>
            </w:r>
            <w:r>
              <w:rPr>
                <w:rFonts w:hint="eastAsia"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w:t>
            </w:r>
          </w:p>
          <w:p w14:paraId="20AF55B5">
            <w:pPr>
              <w:pStyle w:val="28"/>
              <w:keepNext w:val="0"/>
              <w:keepLines w:val="0"/>
              <w:pageBreakBefore w:val="0"/>
              <w:numPr>
                <w:ilvl w:val="0"/>
                <w:numId w:val="0"/>
              </w:numPr>
              <w:overflowPunct/>
              <w:topLinePunct w:val="0"/>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接到釆购人要求供货的通知后，投标人</w:t>
            </w:r>
            <w:r>
              <w:rPr>
                <w:rFonts w:hint="eastAsia" w:hAnsi="宋体" w:eastAsia="宋体" w:cs="宋体"/>
                <w:b w:val="0"/>
                <w:bCs w:val="0"/>
                <w:color w:val="auto"/>
                <w:sz w:val="24"/>
                <w:szCs w:val="24"/>
                <w:highlight w:val="none"/>
                <w:lang w:val="en-US" w:eastAsia="zh-CN"/>
              </w:rPr>
              <w:t>5天</w:t>
            </w:r>
            <w:r>
              <w:rPr>
                <w:rFonts w:hint="eastAsia" w:ascii="宋体" w:hAnsi="宋体" w:eastAsia="宋体" w:cs="宋体"/>
                <w:b w:val="0"/>
                <w:bCs w:val="0"/>
                <w:color w:val="auto"/>
                <w:sz w:val="24"/>
                <w:szCs w:val="24"/>
                <w:highlight w:val="none"/>
                <w:lang w:val="en-US" w:eastAsia="zh-CN"/>
              </w:rPr>
              <w:t>内将货运至现场得</w:t>
            </w:r>
            <w:r>
              <w:rPr>
                <w:rFonts w:hint="eastAsia"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w:t>
            </w:r>
          </w:p>
          <w:p w14:paraId="60C3D08E">
            <w:pPr>
              <w:pStyle w:val="28"/>
              <w:keepNext w:val="0"/>
              <w:keepLines w:val="0"/>
              <w:pageBreakBefore w:val="0"/>
              <w:numPr>
                <w:ilvl w:val="0"/>
                <w:numId w:val="0"/>
              </w:numPr>
              <w:overflowPunct/>
              <w:topLinePunct w:val="0"/>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接到釆购人要求供货的通知后，投标人</w:t>
            </w:r>
            <w:r>
              <w:rPr>
                <w:rFonts w:hint="eastAsia" w:hAnsi="宋体" w:eastAsia="宋体" w:cs="宋体"/>
                <w:b w:val="0"/>
                <w:bCs w:val="0"/>
                <w:color w:val="auto"/>
                <w:sz w:val="24"/>
                <w:szCs w:val="24"/>
                <w:highlight w:val="none"/>
                <w:lang w:val="en-US" w:eastAsia="zh-CN"/>
              </w:rPr>
              <w:t>6天</w:t>
            </w:r>
            <w:r>
              <w:rPr>
                <w:rFonts w:hint="eastAsia" w:ascii="宋体" w:hAnsi="宋体" w:eastAsia="宋体" w:cs="宋体"/>
                <w:b w:val="0"/>
                <w:bCs w:val="0"/>
                <w:color w:val="auto"/>
                <w:sz w:val="24"/>
                <w:szCs w:val="24"/>
                <w:highlight w:val="none"/>
                <w:lang w:val="en-US" w:eastAsia="zh-CN"/>
              </w:rPr>
              <w:t>内将货运至现场得1分；</w:t>
            </w:r>
          </w:p>
          <w:p w14:paraId="6499539E">
            <w:pPr>
              <w:pStyle w:val="28"/>
              <w:keepNext w:val="0"/>
              <w:keepLines w:val="0"/>
              <w:pageBreakBefore w:val="0"/>
              <w:numPr>
                <w:ilvl w:val="0"/>
                <w:numId w:val="0"/>
              </w:numPr>
              <w:overflowPunct/>
              <w:topLinePunct w:val="0"/>
              <w:bidi w:val="0"/>
              <w:spacing w:line="360" w:lineRule="auto"/>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评审依据：投标人提供响应时间承诺函加盖投标人公章</w:t>
            </w:r>
            <w:r>
              <w:rPr>
                <w:rFonts w:hint="eastAsia"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ECEFDD">
            <w:pPr>
              <w:pStyle w:val="30"/>
              <w:keepNext w:val="0"/>
              <w:keepLines w:val="0"/>
              <w:pageBreakBefore w:val="0"/>
              <w:kinsoku/>
              <w:wordWrap/>
              <w:overflowPunct/>
              <w:topLinePunct w:val="0"/>
              <w:bidi w:val="0"/>
              <w:snapToGrid/>
              <w:spacing w:line="360" w:lineRule="auto"/>
              <w:jc w:val="center"/>
              <w:outlineLvl w:val="9"/>
              <w:rPr>
                <w:rFonts w:hint="default"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3分</w:t>
            </w:r>
          </w:p>
        </w:tc>
      </w:tr>
    </w:tbl>
    <w:p w14:paraId="6D6C22DD">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color w:val="auto"/>
          <w:spacing w:val="0"/>
          <w:w w:val="100"/>
          <w:position w:val="0"/>
          <w:lang w:eastAsia="zh-CN"/>
        </w:rPr>
      </w:pPr>
    </w:p>
    <w:p w14:paraId="48F90309">
      <w:pPr>
        <w:rPr>
          <w:rFonts w:hint="eastAsia"/>
          <w:lang w:val="en-US" w:eastAsia="zh-CN"/>
        </w:rPr>
      </w:pPr>
    </w:p>
    <w:sectPr>
      <w:footerReference r:id="rId5" w:type="default"/>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D1C33">
    <w:pPr>
      <w:pStyle w:val="10"/>
      <w:jc w:val="center"/>
    </w:pPr>
    <w:r>
      <w:fldChar w:fldCharType="begin"/>
    </w:r>
    <w:r>
      <w:instrText xml:space="preserve"> PAGE   \* MERGEFORMAT </w:instrText>
    </w:r>
    <w:r>
      <w:fldChar w:fldCharType="separate"/>
    </w:r>
    <w:r>
      <w:rPr>
        <w:lang w:val="zh-CN"/>
      </w:rPr>
      <w:t>47</w:t>
    </w:r>
    <w:r>
      <w:rPr>
        <w:lang w:val="zh-CN"/>
      </w:rPr>
      <w:fldChar w:fldCharType="end"/>
    </w:r>
  </w:p>
  <w:p w14:paraId="62651D5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128B">
    <w:pPr>
      <w:pStyle w:val="10"/>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3C486">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653C486">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C859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MGVkYTg5OTA5N2I0MjFiMjAzYzIyZmRhNzRjZGMifQ=="/>
    <w:docVar w:name="KSO_WPS_MARK_KEY" w:val="b7f6a430-581b-4d6d-90ac-c0fdf6c69b99"/>
  </w:docVars>
  <w:rsids>
    <w:rsidRoot w:val="00000000"/>
    <w:rsid w:val="014D36CD"/>
    <w:rsid w:val="02657F3A"/>
    <w:rsid w:val="032D1C8B"/>
    <w:rsid w:val="050470AD"/>
    <w:rsid w:val="07EE3A43"/>
    <w:rsid w:val="0893749F"/>
    <w:rsid w:val="092811AA"/>
    <w:rsid w:val="096F51F2"/>
    <w:rsid w:val="0ABA05E1"/>
    <w:rsid w:val="0CBD21BF"/>
    <w:rsid w:val="0EA224A6"/>
    <w:rsid w:val="0F0D5446"/>
    <w:rsid w:val="0FCD24DF"/>
    <w:rsid w:val="10442DF5"/>
    <w:rsid w:val="188954CF"/>
    <w:rsid w:val="19193C38"/>
    <w:rsid w:val="1EE74B73"/>
    <w:rsid w:val="25D32EFB"/>
    <w:rsid w:val="268D3316"/>
    <w:rsid w:val="27BE6FF8"/>
    <w:rsid w:val="2C8671CD"/>
    <w:rsid w:val="2CE81CB5"/>
    <w:rsid w:val="2CF17FD9"/>
    <w:rsid w:val="2F20249B"/>
    <w:rsid w:val="2FB3086B"/>
    <w:rsid w:val="3099677D"/>
    <w:rsid w:val="30EA7B6C"/>
    <w:rsid w:val="36B716C1"/>
    <w:rsid w:val="38CC1391"/>
    <w:rsid w:val="3AAA0541"/>
    <w:rsid w:val="3D790266"/>
    <w:rsid w:val="3FEB552D"/>
    <w:rsid w:val="40023379"/>
    <w:rsid w:val="487D7CB7"/>
    <w:rsid w:val="48B01A43"/>
    <w:rsid w:val="50D6294B"/>
    <w:rsid w:val="50F7359B"/>
    <w:rsid w:val="51477D95"/>
    <w:rsid w:val="52EE34C1"/>
    <w:rsid w:val="55F81F79"/>
    <w:rsid w:val="582241C7"/>
    <w:rsid w:val="5BA807F6"/>
    <w:rsid w:val="5BE31546"/>
    <w:rsid w:val="5D064542"/>
    <w:rsid w:val="5FDD6CEA"/>
    <w:rsid w:val="618D1EA5"/>
    <w:rsid w:val="62266F07"/>
    <w:rsid w:val="645455D7"/>
    <w:rsid w:val="68D0643D"/>
    <w:rsid w:val="69540E1C"/>
    <w:rsid w:val="6C1264F8"/>
    <w:rsid w:val="6EBE002F"/>
    <w:rsid w:val="6FAAD493"/>
    <w:rsid w:val="70433DC9"/>
    <w:rsid w:val="71816E6E"/>
    <w:rsid w:val="72250A97"/>
    <w:rsid w:val="75F10669"/>
    <w:rsid w:val="774B24E5"/>
    <w:rsid w:val="788543C8"/>
    <w:rsid w:val="78F56DDC"/>
    <w:rsid w:val="7BDA7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outlineLvl w:val="0"/>
    </w:pPr>
    <w:rPr>
      <w:rFonts w:ascii="宋体"/>
      <w:sz w:val="28"/>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8"/>
    <w:basedOn w:val="1"/>
    <w:next w:val="1"/>
    <w:qFormat/>
    <w:uiPriority w:val="0"/>
    <w:pPr>
      <w:keepNext/>
      <w:keepLines/>
      <w:spacing w:before="240" w:after="64" w:line="320" w:lineRule="auto"/>
      <w:outlineLvl w:val="7"/>
    </w:pPr>
    <w:rPr>
      <w:rFonts w:ascii="Arial" w:hAnsi="Arial" w:eastAsia="黑体"/>
      <w:kern w:val="0"/>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99"/>
    <w:pPr>
      <w:spacing w:after="120"/>
    </w:pPr>
  </w:style>
  <w:style w:type="paragraph" w:styleId="7">
    <w:name w:val="Body Text Indent"/>
    <w:basedOn w:val="1"/>
    <w:next w:val="8"/>
    <w:qFormat/>
    <w:uiPriority w:val="0"/>
    <w:pPr>
      <w:autoSpaceDE w:val="0"/>
      <w:autoSpaceDN w:val="0"/>
      <w:adjustRightInd w:val="0"/>
      <w:spacing w:line="360" w:lineRule="auto"/>
      <w:ind w:firstLine="480"/>
      <w:jc w:val="left"/>
    </w:pPr>
    <w:rPr>
      <w:rFonts w:ascii="宋体" w:hAnsi="宋体"/>
      <w:kern w:val="0"/>
      <w:sz w:val="24"/>
    </w:rPr>
  </w:style>
  <w:style w:type="paragraph" w:styleId="8">
    <w:name w:val="envelope return"/>
    <w:basedOn w:val="1"/>
    <w:qFormat/>
    <w:uiPriority w:val="99"/>
    <w:pPr>
      <w:snapToGrid w:val="0"/>
    </w:pPr>
    <w:rPr>
      <w:rFonts w:ascii="Arial" w:hAnsi="Arial"/>
    </w:rPr>
  </w:style>
  <w:style w:type="paragraph" w:styleId="9">
    <w:name w:val="Plain Text"/>
    <w:basedOn w:val="1"/>
    <w:qFormat/>
    <w:uiPriority w:val="99"/>
    <w:rPr>
      <w:rFonts w:ascii="宋体" w:hAnsi="Courier New"/>
      <w:szCs w:val="21"/>
    </w:rPr>
  </w:style>
  <w:style w:type="paragraph" w:styleId="10">
    <w:name w:val="footer"/>
    <w:basedOn w:val="1"/>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12">
    <w:name w:val="toc 1"/>
    <w:basedOn w:val="1"/>
    <w:next w:val="1"/>
    <w:qFormat/>
    <w:uiPriority w:val="0"/>
    <w:pPr>
      <w:tabs>
        <w:tab w:val="right" w:leader="dot" w:pos="10070"/>
      </w:tabs>
      <w:spacing w:line="840" w:lineRule="exact"/>
      <w:ind w:left="1152" w:hanging="1152" w:hangingChars="360"/>
    </w:pPr>
  </w:style>
  <w:style w:type="paragraph" w:styleId="13">
    <w:name w:val="toc 2"/>
    <w:basedOn w:val="1"/>
    <w:next w:val="1"/>
    <w:qFormat/>
    <w:uiPriority w:val="39"/>
    <w:pPr>
      <w:tabs>
        <w:tab w:val="right" w:leader="dot" w:pos="9629"/>
      </w:tabs>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99"/>
    <w:pPr>
      <w:spacing w:line="640" w:lineRule="atLeast"/>
      <w:jc w:val="center"/>
    </w:pPr>
    <w:rPr>
      <w:rFonts w:ascii="Arial" w:hAnsi="Arial" w:eastAsia="方正小标宋_GBK" w:cs="Arial"/>
      <w:bCs/>
      <w:szCs w:val="32"/>
    </w:rPr>
  </w:style>
  <w:style w:type="paragraph" w:styleId="16">
    <w:name w:val="Body Text First Indent"/>
    <w:basedOn w:val="6"/>
    <w:next w:val="17"/>
    <w:qFormat/>
    <w:uiPriority w:val="0"/>
    <w:pPr>
      <w:ind w:firstLine="420" w:firstLineChars="100"/>
    </w:pPr>
  </w:style>
  <w:style w:type="paragraph" w:styleId="17">
    <w:name w:val="Body Text First Indent 2"/>
    <w:basedOn w:val="7"/>
    <w:next w:val="1"/>
    <w:qFormat/>
    <w:uiPriority w:val="0"/>
    <w:pPr>
      <w:autoSpaceDE/>
      <w:autoSpaceDN/>
      <w:adjustRightInd/>
      <w:spacing w:after="120" w:line="240" w:lineRule="auto"/>
      <w:ind w:left="420" w:leftChars="200" w:firstLine="420" w:firstLineChars="200"/>
      <w:jc w:val="both"/>
    </w:pPr>
    <w:rPr>
      <w:rFonts w:ascii="Times New Roman" w:hAnsi="Times New Roman"/>
      <w:kern w:val="2"/>
      <w:sz w:val="21"/>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正文缩进1"/>
    <w:basedOn w:val="1"/>
    <w:qFormat/>
    <w:uiPriority w:val="0"/>
    <w:pPr>
      <w:ind w:firstLine="200" w:firstLineChars="200"/>
    </w:pPr>
    <w:rPr>
      <w:szCs w:val="24"/>
    </w:rPr>
  </w:style>
  <w:style w:type="paragraph" w:customStyle="1" w:styleId="22">
    <w:name w:val="UserStyle_0"/>
    <w:basedOn w:val="1"/>
    <w:qFormat/>
    <w:uiPriority w:val="0"/>
    <w:pPr>
      <w:ind w:left="482" w:firstLine="200" w:firstLineChars="200"/>
      <w:textAlignment w:val="baseline"/>
    </w:pPr>
  </w:style>
  <w:style w:type="paragraph" w:customStyle="1" w:styleId="23">
    <w:name w:val="正文 New"/>
    <w:qFormat/>
    <w:uiPriority w:val="0"/>
    <w:pPr>
      <w:widowControl w:val="0"/>
      <w:jc w:val="both"/>
    </w:pPr>
    <w:rPr>
      <w:rFonts w:ascii="Calibri" w:hAnsi="Calibri" w:eastAsia="宋体" w:cs="黑体"/>
      <w:kern w:val="2"/>
      <w:sz w:val="21"/>
      <w:szCs w:val="24"/>
      <w:lang w:val="en-US" w:eastAsia="zh-CN" w:bidi="ar-SA"/>
    </w:rPr>
  </w:style>
  <w:style w:type="paragraph" w:customStyle="1" w:styleId="24">
    <w:name w:val="Table Paragraph"/>
    <w:basedOn w:val="1"/>
    <w:qFormat/>
    <w:uiPriority w:val="1"/>
  </w:style>
  <w:style w:type="paragraph" w:customStyle="1" w:styleId="25">
    <w:name w:val="Body text|1"/>
    <w:basedOn w:val="1"/>
    <w:qFormat/>
    <w:uiPriority w:val="0"/>
    <w:pPr>
      <w:spacing w:line="403" w:lineRule="auto"/>
    </w:pPr>
    <w:rPr>
      <w:rFonts w:ascii="宋体" w:hAnsi="宋体" w:cs="宋体"/>
      <w:sz w:val="20"/>
      <w:lang w:val="zh-TW" w:eastAsia="zh-TW" w:bidi="zh-TW"/>
    </w:rPr>
  </w:style>
  <w:style w:type="table" w:customStyle="1" w:styleId="26">
    <w:name w:val="Table Normal"/>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7">
    <w:name w:val="Heading 6"/>
    <w:basedOn w:val="1"/>
    <w:qFormat/>
    <w:uiPriority w:val="1"/>
    <w:pPr>
      <w:spacing w:before="14"/>
      <w:jc w:val="left"/>
      <w:outlineLvl w:val="6"/>
    </w:pPr>
    <w:rPr>
      <w:rFonts w:ascii="宋体" w:hAnsi="宋体"/>
      <w:kern w:val="0"/>
      <w:sz w:val="28"/>
      <w:szCs w:val="28"/>
      <w:lang w:eastAsia="en-US"/>
    </w:rPr>
  </w:style>
  <w:style w:type="paragraph" w:customStyle="1" w:styleId="28">
    <w:name w:val="PlainText"/>
    <w:basedOn w:val="1"/>
    <w:qFormat/>
    <w:uiPriority w:val="0"/>
    <w:pPr>
      <w:jc w:val="both"/>
      <w:textAlignment w:val="baseline"/>
    </w:pPr>
    <w:rPr>
      <w:rFonts w:ascii="宋体" w:hAnsi="Courier New"/>
      <w:kern w:val="2"/>
      <w:sz w:val="21"/>
      <w:szCs w:val="24"/>
      <w:lang w:val="en-US" w:eastAsia="zh-CN" w:bidi="ar-SA"/>
    </w:rPr>
  </w:style>
  <w:style w:type="paragraph" w:customStyle="1" w:styleId="29">
    <w:name w:val="纯文本1"/>
    <w:basedOn w:val="1"/>
    <w:qFormat/>
    <w:uiPriority w:val="99"/>
    <w:rPr>
      <w:rFonts w:ascii="宋体" w:hAnsi="Courier New"/>
      <w:kern w:val="0"/>
      <w:sz w:val="20"/>
    </w:rPr>
  </w:style>
  <w:style w:type="paragraph" w:customStyle="1" w:styleId="3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1">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362</Words>
  <Characters>411</Characters>
  <Lines>0</Lines>
  <Paragraphs>0</Paragraphs>
  <TotalTime>0</TotalTime>
  <ScaleCrop>false</ScaleCrop>
  <LinksUpToDate>false</LinksUpToDate>
  <CharactersWithSpaces>419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2023-10-08T02:25:00Z</dcterms:created>
  <dc:creator>吴国锋</dc:creator>
  <cp:lastModifiedBy>Clytze</cp:lastModifiedBy>
  <cp:lastPrinted>2025-04-03T06:55:00Z</cp:lastPrinted>
  <dcterms:modified xsi:type="dcterms:W3CDTF">2026-07-21T01:10:12Z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1CB9B642B2DA43108258437666AF9C58_13</vt:lpwstr>
  </property>
  <property fmtid="{D5CDD505-2E9C-101B-9397-08002B2CF9AE}" pid="4" name="KSOTemplateDocerSaveRecord">
    <vt:lpwstr>eyJoZGlkIjoiYzI4NDlmMDhjNjE5NThkMzI5YzUwOTM0OTg3YzQ1ZDEiLCJ1c2VySWQiOiIyODAzMzM3OTUifQ==</vt:lpwstr>
  </property>
</Properties>
</file>