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28BE9">
      <w:pPr>
        <w:pStyle w:val="27"/>
        <w:keepNext w:val="0"/>
        <w:keepLines w:val="0"/>
        <w:pageBreakBefore w:val="0"/>
        <w:numPr>
          <w:ilvl w:val="2"/>
          <w:numId w:val="0"/>
        </w:numPr>
        <w:tabs>
          <w:tab w:val="left" w:pos="9781"/>
        </w:tabs>
        <w:kinsoku/>
        <w:wordWrap/>
        <w:overflowPunct/>
        <w:topLinePunct w:val="0"/>
        <w:autoSpaceDE/>
        <w:autoSpaceDN/>
        <w:bidi w:val="0"/>
        <w:snapToGrid w:val="0"/>
        <w:spacing w:before="0" w:line="360" w:lineRule="auto"/>
        <w:ind w:right="0" w:rightChars="0"/>
        <w:jc w:val="both"/>
        <w:textAlignment w:val="auto"/>
        <w:rPr>
          <w:rFonts w:hint="eastAsia" w:asciiTheme="minorEastAsia" w:hAnsiTheme="minorEastAsia" w:eastAsiaTheme="minorEastAsia" w:cstheme="minorEastAsia"/>
          <w:b/>
          <w:bCs/>
          <w:sz w:val="28"/>
          <w:szCs w:val="28"/>
          <w:lang w:val="en-US" w:eastAsia="zh-CN"/>
        </w:rPr>
      </w:pPr>
      <w:bookmarkStart w:id="6" w:name="_GoBack"/>
      <w:r>
        <w:rPr>
          <w:rFonts w:hint="eastAsia" w:asciiTheme="minorEastAsia" w:hAnsiTheme="minorEastAsia" w:eastAsiaTheme="minorEastAsia" w:cstheme="minorEastAsia"/>
          <w:b/>
          <w:bCs/>
          <w:sz w:val="28"/>
          <w:szCs w:val="28"/>
          <w:lang w:val="en-US" w:eastAsia="zh-CN"/>
        </w:rPr>
        <w:t>附件：项目清单及技术要求、商务条款</w:t>
      </w:r>
    </w:p>
    <w:bookmarkEnd w:id="6"/>
    <w:p w14:paraId="48A41905">
      <w:pPr>
        <w:pStyle w:val="27"/>
        <w:keepNext w:val="0"/>
        <w:keepLines w:val="0"/>
        <w:pageBreakBefore w:val="0"/>
        <w:numPr>
          <w:ilvl w:val="2"/>
          <w:numId w:val="0"/>
        </w:numPr>
        <w:tabs>
          <w:tab w:val="left" w:pos="9781"/>
        </w:tabs>
        <w:kinsoku/>
        <w:wordWrap/>
        <w:overflowPunct/>
        <w:topLinePunct w:val="0"/>
        <w:autoSpaceDE/>
        <w:autoSpaceDN/>
        <w:bidi w:val="0"/>
        <w:snapToGrid w:val="0"/>
        <w:spacing w:before="0" w:line="360" w:lineRule="auto"/>
        <w:ind w:right="0" w:rightChars="0"/>
        <w:jc w:val="both"/>
        <w:textAlignment w:val="auto"/>
        <w:rPr>
          <w:rFonts w:hint="eastAsia" w:ascii="Times New Roman" w:hAnsi="Times New Roman" w:eastAsia="宋体" w:cs="Times New Roman"/>
          <w:b/>
          <w:bCs/>
          <w:color w:val="auto"/>
          <w:kern w:val="2"/>
          <w:sz w:val="28"/>
          <w:szCs w:val="28"/>
          <w:highlight w:val="none"/>
          <w:vertAlign w:val="baseline"/>
          <w:lang w:val="en-US" w:eastAsia="zh-CN" w:bidi="ar-SA"/>
        </w:rPr>
      </w:pPr>
      <w:r>
        <w:rPr>
          <w:rFonts w:hint="eastAsia" w:ascii="Times New Roman" w:hAnsi="Times New Roman" w:eastAsia="宋体" w:cs="Times New Roman"/>
          <w:b/>
          <w:bCs/>
          <w:color w:val="auto"/>
          <w:kern w:val="2"/>
          <w:sz w:val="28"/>
          <w:szCs w:val="28"/>
          <w:highlight w:val="none"/>
          <w:vertAlign w:val="baseline"/>
          <w:lang w:val="en-US" w:eastAsia="zh-CN" w:bidi="ar-SA"/>
        </w:rPr>
        <w:t>一、项目清单及技术要求</w:t>
      </w:r>
    </w:p>
    <w:p w14:paraId="455CB3B6">
      <w:pPr>
        <w:pStyle w:val="27"/>
        <w:keepNext w:val="0"/>
        <w:keepLines w:val="0"/>
        <w:pageBreakBefore w:val="0"/>
        <w:numPr>
          <w:ilvl w:val="2"/>
          <w:numId w:val="0"/>
        </w:numPr>
        <w:tabs>
          <w:tab w:val="left" w:pos="9781"/>
        </w:tabs>
        <w:kinsoku/>
        <w:wordWrap/>
        <w:overflowPunct/>
        <w:topLinePunct w:val="0"/>
        <w:autoSpaceDE/>
        <w:autoSpaceDN/>
        <w:bidi w:val="0"/>
        <w:snapToGrid w:val="0"/>
        <w:spacing w:before="0" w:line="360" w:lineRule="auto"/>
        <w:ind w:right="0" w:rightChars="0"/>
        <w:jc w:val="both"/>
        <w:textAlignment w:val="auto"/>
        <w:rPr>
          <w:rFonts w:hint="default" w:ascii="Times New Roman" w:hAnsi="Times New Roman" w:eastAsia="宋体" w:cs="Times New Roman"/>
          <w:b/>
          <w:bCs/>
          <w:color w:val="auto"/>
          <w:kern w:val="2"/>
          <w:sz w:val="28"/>
          <w:szCs w:val="28"/>
          <w:highlight w:val="none"/>
          <w:vertAlign w:val="baseline"/>
          <w:lang w:val="en-US" w:eastAsia="zh-CN" w:bidi="ar-SA"/>
        </w:rPr>
      </w:pPr>
      <w:r>
        <w:rPr>
          <w:rFonts w:hint="eastAsia" w:ascii="Times New Roman" w:hAnsi="Times New Roman" w:eastAsia="宋体" w:cs="Times New Roman"/>
          <w:b/>
          <w:bCs/>
          <w:color w:val="auto"/>
          <w:kern w:val="2"/>
          <w:sz w:val="28"/>
          <w:szCs w:val="28"/>
          <w:highlight w:val="none"/>
          <w:vertAlign w:val="baseline"/>
          <w:lang w:val="en-US" w:eastAsia="zh-CN" w:bidi="ar-SA"/>
        </w:rPr>
        <w:t>（一）采购清单</w:t>
      </w:r>
    </w:p>
    <w:tbl>
      <w:tblPr>
        <w:tblStyle w:val="18"/>
        <w:tblW w:w="4996"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4"/>
        <w:gridCol w:w="4562"/>
        <w:gridCol w:w="2159"/>
        <w:gridCol w:w="595"/>
        <w:gridCol w:w="615"/>
        <w:gridCol w:w="1201"/>
      </w:tblGrid>
      <w:tr w14:paraId="1DCCB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2337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序号</w:t>
            </w:r>
          </w:p>
        </w:tc>
        <w:tc>
          <w:tcPr>
            <w:tcW w:w="4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38F6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材料名称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A47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规格、参数</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CE87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6F94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数量</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78DC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单价控制价</w:t>
            </w:r>
          </w:p>
        </w:tc>
      </w:tr>
      <w:tr w14:paraId="4A4B2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32B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345F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微软雅黑" w:hAnsi="微软雅黑" w:eastAsia="微软雅黑" w:cs="微软雅黑"/>
                <w:i w:val="0"/>
                <w:iCs w:val="0"/>
                <w:snapToGrid w:val="0"/>
                <w:color w:val="000000"/>
                <w:kern w:val="0"/>
                <w:sz w:val="24"/>
                <w:szCs w:val="24"/>
                <w:u w:val="none"/>
                <w:lang w:val="en-US" w:eastAsia="zh-CN" w:bidi="ar"/>
              </w:rPr>
              <w:t>★</w:t>
            </w:r>
            <w:r>
              <w:rPr>
                <w:rFonts w:hint="eastAsia" w:ascii="宋体" w:hAnsi="宋体" w:eastAsia="宋体" w:cs="宋体"/>
                <w:i w:val="0"/>
                <w:iCs w:val="0"/>
                <w:snapToGrid w:val="0"/>
                <w:color w:val="000000"/>
                <w:kern w:val="0"/>
                <w:sz w:val="24"/>
                <w:szCs w:val="24"/>
                <w:u w:val="none"/>
                <w:lang w:val="en-US" w:eastAsia="zh-CN" w:bidi="ar"/>
              </w:rPr>
              <w:t>PE管（1.0Mpa)</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38E2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Φ500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9EAE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D5F1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030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582.13 </w:t>
            </w:r>
          </w:p>
        </w:tc>
      </w:tr>
      <w:tr w14:paraId="6A253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CD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43E0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1EA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Φ400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9DA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97E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280F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375.84 </w:t>
            </w:r>
          </w:p>
        </w:tc>
      </w:tr>
      <w:tr w14:paraId="08474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D1CA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2172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C0BE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Φ315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71B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2DC4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B27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227.17 </w:t>
            </w:r>
          </w:p>
        </w:tc>
      </w:tr>
      <w:tr w14:paraId="5B9D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54F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F53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6684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821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B03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8D65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94.38 </w:t>
            </w:r>
          </w:p>
        </w:tc>
      </w:tr>
      <w:tr w14:paraId="690A3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D900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06C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C89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D3F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7F6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F335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60.13 </w:t>
            </w:r>
          </w:p>
        </w:tc>
      </w:tr>
      <w:tr w14:paraId="46E58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D551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2412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238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20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22B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6ED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29.20 </w:t>
            </w:r>
          </w:p>
        </w:tc>
      </w:tr>
      <w:tr w14:paraId="177FF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B60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5F945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F6BA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Φ90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9065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DEAF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D30C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20.80 </w:t>
            </w:r>
          </w:p>
        </w:tc>
      </w:tr>
      <w:tr w14:paraId="54545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54E3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38F5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微软雅黑" w:hAnsi="微软雅黑" w:eastAsia="微软雅黑" w:cs="微软雅黑"/>
                <w:i w:val="0"/>
                <w:iCs w:val="0"/>
                <w:snapToGrid w:val="0"/>
                <w:color w:val="000000"/>
                <w:kern w:val="0"/>
                <w:sz w:val="24"/>
                <w:szCs w:val="24"/>
                <w:u w:val="none"/>
                <w:lang w:val="en-US" w:eastAsia="zh-CN" w:bidi="ar"/>
              </w:rPr>
              <w:t>★</w:t>
            </w:r>
            <w:r>
              <w:rPr>
                <w:rFonts w:hint="eastAsia" w:ascii="宋体" w:hAnsi="宋体" w:eastAsia="宋体" w:cs="宋体"/>
                <w:i w:val="0"/>
                <w:iCs w:val="0"/>
                <w:snapToGrid w:val="0"/>
                <w:color w:val="000000"/>
                <w:kern w:val="0"/>
                <w:sz w:val="24"/>
                <w:szCs w:val="24"/>
                <w:u w:val="none"/>
                <w:lang w:val="en-US" w:eastAsia="zh-CN" w:bidi="ar"/>
              </w:rPr>
              <w:t>PE管（1.25Mpa)</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A78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807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4F9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E652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14.34 </w:t>
            </w:r>
          </w:p>
        </w:tc>
      </w:tr>
      <w:tr w14:paraId="7C303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1FB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43E8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1200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FCCD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F7E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F2B7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10.86 </w:t>
            </w:r>
          </w:p>
        </w:tc>
      </w:tr>
      <w:tr w14:paraId="7483D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772F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w:t>
            </w:r>
          </w:p>
        </w:tc>
        <w:tc>
          <w:tcPr>
            <w:tcW w:w="4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B52B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微软雅黑" w:hAnsi="微软雅黑" w:eastAsia="微软雅黑" w:cs="微软雅黑"/>
                <w:i w:val="0"/>
                <w:iCs w:val="0"/>
                <w:snapToGrid w:val="0"/>
                <w:color w:val="000000"/>
                <w:kern w:val="0"/>
                <w:sz w:val="24"/>
                <w:szCs w:val="24"/>
                <w:u w:val="none"/>
                <w:lang w:val="en-US" w:eastAsia="zh-CN" w:bidi="ar"/>
              </w:rPr>
              <w:t>★</w:t>
            </w:r>
            <w:r>
              <w:rPr>
                <w:rFonts w:hint="eastAsia" w:ascii="宋体" w:hAnsi="宋体" w:eastAsia="宋体" w:cs="宋体"/>
                <w:i w:val="0"/>
                <w:iCs w:val="0"/>
                <w:snapToGrid w:val="0"/>
                <w:color w:val="000000"/>
                <w:kern w:val="0"/>
                <w:sz w:val="24"/>
                <w:szCs w:val="24"/>
                <w:u w:val="none"/>
                <w:lang w:val="en-US" w:eastAsia="zh-CN" w:bidi="ar"/>
              </w:rPr>
              <w:t>PE管（1.6Mpa)</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B364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14B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米</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A8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C96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4.68 </w:t>
            </w:r>
          </w:p>
        </w:tc>
      </w:tr>
      <w:tr w14:paraId="0928A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913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87A7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PE法兰（套）</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AE7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4D11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0DC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BAC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58.60 </w:t>
            </w:r>
          </w:p>
        </w:tc>
      </w:tr>
      <w:tr w14:paraId="19118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532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D384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63B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9E9A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41E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999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28.95 </w:t>
            </w:r>
          </w:p>
        </w:tc>
      </w:tr>
      <w:tr w14:paraId="1CB0F0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BDB6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8089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25C0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15F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A816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810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14.94 </w:t>
            </w:r>
          </w:p>
        </w:tc>
      </w:tr>
      <w:tr w14:paraId="33051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013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14</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B010B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PE弯头*90°</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3CFE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BC5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7F7B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0DC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122.95 </w:t>
            </w:r>
          </w:p>
        </w:tc>
      </w:tr>
      <w:tr w14:paraId="0988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B41E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E925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8500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1F7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6A3B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25F3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65.85 </w:t>
            </w:r>
          </w:p>
        </w:tc>
      </w:tr>
      <w:tr w14:paraId="1379F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C19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050F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833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184B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124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C36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26.31 </w:t>
            </w:r>
          </w:p>
        </w:tc>
      </w:tr>
      <w:tr w14:paraId="367A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A1D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ACC3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04C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Φ90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08F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DB69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522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17.67 </w:t>
            </w:r>
          </w:p>
        </w:tc>
      </w:tr>
      <w:tr w14:paraId="7E4E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4E8F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7AF22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9455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1603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E16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D1A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4.85 </w:t>
            </w:r>
          </w:p>
        </w:tc>
      </w:tr>
      <w:tr w14:paraId="24A69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446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DC0D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8B1D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7173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C88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DDB2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2.84 </w:t>
            </w:r>
          </w:p>
        </w:tc>
      </w:tr>
      <w:tr w14:paraId="22674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BD9F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CF4EA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585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1230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1EC2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321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0.93 </w:t>
            </w:r>
          </w:p>
        </w:tc>
      </w:tr>
      <w:tr w14:paraId="3445F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557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21</w:t>
            </w:r>
          </w:p>
        </w:tc>
        <w:tc>
          <w:tcPr>
            <w:tcW w:w="45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F88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PE直接</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5863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678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6C30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1C0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2.36 </w:t>
            </w:r>
          </w:p>
        </w:tc>
      </w:tr>
      <w:tr w14:paraId="0206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6733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22</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D9F0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PE大小头</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BEEC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B91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5FA4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8BD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58.15 </w:t>
            </w:r>
          </w:p>
        </w:tc>
      </w:tr>
      <w:tr w14:paraId="369DB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2CFE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1B1E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8E2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300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15B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AA02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46.66 </w:t>
            </w:r>
          </w:p>
        </w:tc>
      </w:tr>
      <w:tr w14:paraId="2DAF1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27F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8E08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A8C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59E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5E7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F446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30.57 </w:t>
            </w:r>
          </w:p>
        </w:tc>
      </w:tr>
      <w:tr w14:paraId="18BB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6AE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7A0B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07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89AE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EE88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5BE5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11.26 </w:t>
            </w:r>
          </w:p>
        </w:tc>
      </w:tr>
      <w:tr w14:paraId="47259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318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504A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460D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EC4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92D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F83E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2.26 </w:t>
            </w:r>
          </w:p>
        </w:tc>
      </w:tr>
      <w:tr w14:paraId="7D6AF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CFD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27</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D227A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PE三通</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2A51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E398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D91D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9B7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34.36 </w:t>
            </w:r>
          </w:p>
        </w:tc>
      </w:tr>
      <w:tr w14:paraId="38B9D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05F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FDBA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EBF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D12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FEF1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93C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28.14 </w:t>
            </w:r>
          </w:p>
        </w:tc>
      </w:tr>
      <w:tr w14:paraId="11648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FF11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29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642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106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7677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840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FBA8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8.22 </w:t>
            </w:r>
          </w:p>
        </w:tc>
      </w:tr>
      <w:tr w14:paraId="725B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8F7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ED1C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095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CE6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E69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2CC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4.84 </w:t>
            </w:r>
          </w:p>
        </w:tc>
      </w:tr>
      <w:tr w14:paraId="2436D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D4B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3863F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8CE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EFE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156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F14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4.02 </w:t>
            </w:r>
          </w:p>
        </w:tc>
      </w:tr>
      <w:tr w14:paraId="5FB154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6A5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32</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C79D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PE外丝直接</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F627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80B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CEFC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2F42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29.04 </w:t>
            </w:r>
          </w:p>
        </w:tc>
      </w:tr>
      <w:tr w14:paraId="3CE00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10C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F828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91A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Φ32×15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145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B874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E83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5.71 </w:t>
            </w:r>
          </w:p>
        </w:tc>
      </w:tr>
      <w:tr w14:paraId="0B373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AD5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34</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62E99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PE电熔直接</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ED56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BC4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49F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5B5B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12.10 </w:t>
            </w:r>
          </w:p>
        </w:tc>
      </w:tr>
      <w:tr w14:paraId="0F895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DFD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E287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16E8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81ED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9CD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E5B3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25.16 </w:t>
            </w:r>
          </w:p>
        </w:tc>
      </w:tr>
      <w:tr w14:paraId="154EF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A4C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3C80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E9ED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2E7B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AC7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757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48.33 </w:t>
            </w:r>
          </w:p>
        </w:tc>
      </w:tr>
      <w:tr w14:paraId="4306A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10B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489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B9AD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4E8F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DBB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CFF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95.46 </w:t>
            </w:r>
          </w:p>
        </w:tc>
      </w:tr>
      <w:tr w14:paraId="4C79B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F8F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38</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61CD5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PE等径直接（承插）</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092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5D7C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5D3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C73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0.50 </w:t>
            </w:r>
          </w:p>
        </w:tc>
      </w:tr>
      <w:tr w14:paraId="3F56B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244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39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7546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96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15C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04BD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28AC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2.36 </w:t>
            </w:r>
          </w:p>
        </w:tc>
      </w:tr>
      <w:tr w14:paraId="4B56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8BDF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FD43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EDE2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Φ90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EFB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549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B2E1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4.71 </w:t>
            </w:r>
          </w:p>
        </w:tc>
      </w:tr>
      <w:tr w14:paraId="268D4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CEBB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CA6B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556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BC42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E6DD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535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8.12 </w:t>
            </w:r>
          </w:p>
        </w:tc>
      </w:tr>
      <w:tr w14:paraId="15E88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FDCB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42</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0E49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PE90度弯头（承插）</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769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647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322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FF0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0.93 </w:t>
            </w:r>
          </w:p>
        </w:tc>
      </w:tr>
      <w:tr w14:paraId="62A55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31CE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54E6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D0CA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035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D5D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1CD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4.85 </w:t>
            </w:r>
          </w:p>
        </w:tc>
      </w:tr>
      <w:tr w14:paraId="5D2FB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900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3618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4F6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Φ90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6C8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CA3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81C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10.45 </w:t>
            </w:r>
          </w:p>
        </w:tc>
      </w:tr>
      <w:tr w14:paraId="5ECBD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5267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07F0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A1E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FB4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42B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B37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19.38 </w:t>
            </w:r>
          </w:p>
        </w:tc>
      </w:tr>
      <w:tr w14:paraId="3F498F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788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46</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85DB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PE等径三通（承插）</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5EB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771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6AD0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B1EC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1.33 </w:t>
            </w:r>
          </w:p>
        </w:tc>
      </w:tr>
      <w:tr w14:paraId="04928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C843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1D17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890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28F9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82D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00C9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6.03 </w:t>
            </w:r>
          </w:p>
        </w:tc>
      </w:tr>
      <w:tr w14:paraId="7DE19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7E97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FCB3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FC5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Φ90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D3EA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A70F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9B1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13.12 </w:t>
            </w:r>
          </w:p>
        </w:tc>
      </w:tr>
      <w:tr w14:paraId="389D7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2F48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4EFD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076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E18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D63A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690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24.62 </w:t>
            </w:r>
          </w:p>
        </w:tc>
      </w:tr>
      <w:tr w14:paraId="2382C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F0A1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50</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0BFF1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PE异径直接（承插）</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0D9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Φ25*20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F66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D61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7BD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0.32 </w:t>
            </w:r>
          </w:p>
        </w:tc>
      </w:tr>
      <w:tr w14:paraId="544A5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B90F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73FA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D4A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Φ32*20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830E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5E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842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0.51 </w:t>
            </w:r>
          </w:p>
        </w:tc>
      </w:tr>
      <w:tr w14:paraId="214C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3E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52</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A682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616A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Φ32*25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8FB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EEB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8AF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0.52 </w:t>
            </w:r>
          </w:p>
        </w:tc>
      </w:tr>
      <w:tr w14:paraId="03576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9FD7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41C47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052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729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5653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371B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2.26 </w:t>
            </w:r>
          </w:p>
        </w:tc>
      </w:tr>
      <w:tr w14:paraId="61819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B35D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54</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C027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PE内丝直接（承插）</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DBA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Φ32*1/2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DB6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026C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86AE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4.72 </w:t>
            </w:r>
          </w:p>
        </w:tc>
      </w:tr>
      <w:tr w14:paraId="2FAEE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9F5F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C49D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3874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Φ32*3/4</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B9C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4573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C133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5.48 </w:t>
            </w:r>
          </w:p>
        </w:tc>
      </w:tr>
      <w:tr w14:paraId="44C6C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88B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6111E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402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Φ32*1</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AAC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37BA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A9B6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7.59 </w:t>
            </w:r>
          </w:p>
        </w:tc>
      </w:tr>
      <w:tr w14:paraId="620EA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EDBF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390F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EC9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657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5F5E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62F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27.32 </w:t>
            </w:r>
          </w:p>
        </w:tc>
      </w:tr>
      <w:tr w14:paraId="64497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F3A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58</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95CC8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PE外丝直接（承插）</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1E3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Φ32*1/2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5490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772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7615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5.71 </w:t>
            </w:r>
          </w:p>
        </w:tc>
      </w:tr>
      <w:tr w14:paraId="3B5CE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B2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59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35996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1B7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Φ32*3/4</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08B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B8F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5D9A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6.25 </w:t>
            </w:r>
          </w:p>
        </w:tc>
      </w:tr>
      <w:tr w14:paraId="7886F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F95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7ECBE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F717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Φ32*1</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0E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F305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C44C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8.25 </w:t>
            </w:r>
          </w:p>
        </w:tc>
      </w:tr>
      <w:tr w14:paraId="32E6F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9AFD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C4F4A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8A5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FE90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4A0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7EC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29.04 </w:t>
            </w:r>
          </w:p>
        </w:tc>
      </w:tr>
      <w:tr w14:paraId="494C4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9B2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62</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B0620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PE等径90度弯头（对接）</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964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2C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F663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05D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6.29 </w:t>
            </w:r>
          </w:p>
        </w:tc>
      </w:tr>
      <w:tr w14:paraId="1ECD1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45D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345B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51C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E37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CD9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74A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26.31 </w:t>
            </w:r>
          </w:p>
        </w:tc>
      </w:tr>
      <w:tr w14:paraId="3A02A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6BE8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2F2E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6642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844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64FB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D111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65.85 </w:t>
            </w:r>
          </w:p>
        </w:tc>
      </w:tr>
      <w:tr w14:paraId="4973F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71F7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CD8D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C70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F97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CCD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B418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122.95 </w:t>
            </w:r>
          </w:p>
        </w:tc>
      </w:tr>
      <w:tr w14:paraId="3F18F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B15E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66</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04F5D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PE等径三通（对接）</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C6A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ADDA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08C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F8D1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10.16 </w:t>
            </w:r>
          </w:p>
        </w:tc>
      </w:tr>
      <w:tr w14:paraId="4ECCE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4E6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1E3D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AF0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005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154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F2D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34.36 </w:t>
            </w:r>
          </w:p>
        </w:tc>
      </w:tr>
      <w:tr w14:paraId="73AE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926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B6ED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8FF8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4C1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1E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7612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93.08 </w:t>
            </w:r>
          </w:p>
        </w:tc>
      </w:tr>
      <w:tr w14:paraId="4BCDB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8AA5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69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5D4F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D95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57AF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CBB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F66F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159.73 </w:t>
            </w:r>
          </w:p>
        </w:tc>
      </w:tr>
      <w:tr w14:paraId="14841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7E6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70</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2232B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法兰套（连接件）</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2EB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1199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C96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103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14.94 </w:t>
            </w:r>
          </w:p>
        </w:tc>
      </w:tr>
      <w:tr w14:paraId="56975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6AA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278AA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0A8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2BB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433C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5DB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28.95 </w:t>
            </w:r>
          </w:p>
        </w:tc>
      </w:tr>
      <w:tr w14:paraId="591EC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69B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72</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DB25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E7F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2DAC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5AB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A96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58.60 </w:t>
            </w:r>
          </w:p>
        </w:tc>
      </w:tr>
      <w:tr w14:paraId="068EF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4DFE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73</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5887F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铁法兰盘</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968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ADD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50EE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DCC9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36.00 </w:t>
            </w:r>
          </w:p>
        </w:tc>
      </w:tr>
      <w:tr w14:paraId="26A99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4ED4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7710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E32B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2C37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4BC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815F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57.93 </w:t>
            </w:r>
          </w:p>
        </w:tc>
      </w:tr>
      <w:tr w14:paraId="76526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516A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0DDF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A9C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134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6C3B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0858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88.88 </w:t>
            </w:r>
          </w:p>
        </w:tc>
      </w:tr>
      <w:tr w14:paraId="197BF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CDBB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76</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B8809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PE异径直接（对接）</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33A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95EF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C548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5A2E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11.26 </w:t>
            </w:r>
          </w:p>
        </w:tc>
      </w:tr>
      <w:tr w14:paraId="6AF93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5F68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4628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73E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3400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B5AD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AA7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23.44 </w:t>
            </w:r>
          </w:p>
        </w:tc>
      </w:tr>
      <w:tr w14:paraId="3386A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06A1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98C6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666B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758D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15B5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D0C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30.57 </w:t>
            </w:r>
          </w:p>
        </w:tc>
      </w:tr>
      <w:tr w14:paraId="34A9F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863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79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462D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2B50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2CB2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519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65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51.02 </w:t>
            </w:r>
          </w:p>
        </w:tc>
      </w:tr>
      <w:tr w14:paraId="28E17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FC12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7610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37C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Φ200*100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30B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3A70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6A3D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46.66 </w:t>
            </w:r>
          </w:p>
        </w:tc>
      </w:tr>
      <w:tr w14:paraId="2F09B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F15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D338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F108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84A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F4F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71F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58.15 </w:t>
            </w:r>
          </w:p>
        </w:tc>
      </w:tr>
      <w:tr w14:paraId="6C6AE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1BF1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82</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1D9E6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PE异径三通（对接）</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28C3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6D9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A32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A89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28.14 </w:t>
            </w:r>
          </w:p>
        </w:tc>
      </w:tr>
      <w:tr w14:paraId="0A844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C06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09301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AC7E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C83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109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01F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73.50 </w:t>
            </w:r>
          </w:p>
        </w:tc>
      </w:tr>
      <w:tr w14:paraId="65154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B76E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388F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C8B8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D405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34A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5A6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79.29 </w:t>
            </w:r>
          </w:p>
        </w:tc>
      </w:tr>
      <w:tr w14:paraId="7035A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1D0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B94D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11D3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5D03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9BE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C08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135.37 </w:t>
            </w:r>
          </w:p>
        </w:tc>
      </w:tr>
      <w:tr w14:paraId="346A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4DA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D0D6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A803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Φ200*100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CCDC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0819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5EE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142.92 </w:t>
            </w:r>
          </w:p>
        </w:tc>
      </w:tr>
      <w:tr w14:paraId="2A104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740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6315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DE29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813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6E75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36E7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151.91 </w:t>
            </w:r>
          </w:p>
        </w:tc>
      </w:tr>
      <w:tr w14:paraId="74E7B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178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88</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614F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橡皮带孔垫片</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5EA2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D69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D1E9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B9F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1.80 </w:t>
            </w:r>
          </w:p>
        </w:tc>
      </w:tr>
      <w:tr w14:paraId="49011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0F72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89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01D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DFE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Ф40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9EEA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7CCF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217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0.60 </w:t>
            </w:r>
          </w:p>
        </w:tc>
      </w:tr>
      <w:tr w14:paraId="5B668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16D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4D2D2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35C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8249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CBE8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39BB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0.60 </w:t>
            </w:r>
          </w:p>
        </w:tc>
      </w:tr>
      <w:tr w14:paraId="3D143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0BB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FB16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D86F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A7E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6E76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B88C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0.60 </w:t>
            </w:r>
          </w:p>
        </w:tc>
      </w:tr>
      <w:tr w14:paraId="3D72E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832E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92</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B910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3D58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Ф75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D40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FC8D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336E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0.96 </w:t>
            </w:r>
          </w:p>
        </w:tc>
      </w:tr>
      <w:tr w14:paraId="722E6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6DBB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C659E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904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A46C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A5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F1F7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0.96 </w:t>
            </w:r>
          </w:p>
        </w:tc>
      </w:tr>
      <w:tr w14:paraId="0F10D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728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B6DB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108E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Ф125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505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BE87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9398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1.44 </w:t>
            </w:r>
          </w:p>
        </w:tc>
      </w:tr>
      <w:tr w14:paraId="02C62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E452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E07BE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1F63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25B9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DB6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6CF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1.56 </w:t>
            </w:r>
          </w:p>
        </w:tc>
      </w:tr>
      <w:tr w14:paraId="79D79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59A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E446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329B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Ф200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CA64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F23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E60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2.16 </w:t>
            </w:r>
          </w:p>
        </w:tc>
      </w:tr>
      <w:tr w14:paraId="6C4B9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5636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97</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F5FB5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PE异径直接</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7A40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Φ50*32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8FA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B27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7E2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1.28 </w:t>
            </w:r>
          </w:p>
        </w:tc>
      </w:tr>
      <w:tr w14:paraId="2DCCB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748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2BAE7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248B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D3E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913D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1D3C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2.25 </w:t>
            </w:r>
          </w:p>
        </w:tc>
      </w:tr>
      <w:tr w14:paraId="056CA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7395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99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42607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F13C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6DAC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AC13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6394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2.26 </w:t>
            </w:r>
          </w:p>
        </w:tc>
      </w:tr>
      <w:tr w14:paraId="214C2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AEE3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4CD3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3AF2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Φ63*40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E47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8B4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59E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2.38 </w:t>
            </w:r>
          </w:p>
        </w:tc>
      </w:tr>
      <w:tr w14:paraId="2F8A8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A65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85D0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D4D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Φ75*63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FFD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0F1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539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3.27 </w:t>
            </w:r>
          </w:p>
        </w:tc>
      </w:tr>
      <w:tr w14:paraId="320F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8891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102</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BA79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033E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Φ90*50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F7F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EA26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9D05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4.04 </w:t>
            </w:r>
          </w:p>
        </w:tc>
      </w:tr>
      <w:tr w14:paraId="65B6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4004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BA2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A618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Φ90*63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A0C7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F17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7EDA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5.09 </w:t>
            </w:r>
          </w:p>
        </w:tc>
      </w:tr>
      <w:tr w14:paraId="3AD33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1C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D55F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3BD6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Φ90*75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ED2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0013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89F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4.23 </w:t>
            </w:r>
          </w:p>
        </w:tc>
      </w:tr>
      <w:tr w14:paraId="4B72E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EAF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2C4F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32B9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2DB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54D9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809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11.14 </w:t>
            </w:r>
          </w:p>
        </w:tc>
      </w:tr>
      <w:tr w14:paraId="662E9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9575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611B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27E6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61C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83DD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A677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11.26 </w:t>
            </w:r>
          </w:p>
        </w:tc>
      </w:tr>
      <w:tr w14:paraId="2C462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979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E3B6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78F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Φ110*75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44B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E560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960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10.12 </w:t>
            </w:r>
          </w:p>
        </w:tc>
      </w:tr>
      <w:tr w14:paraId="1451B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D780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66A9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C5EE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Φ110*90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4F1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46E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D298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13.56 </w:t>
            </w:r>
          </w:p>
        </w:tc>
      </w:tr>
      <w:tr w14:paraId="66CFF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C48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109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94C2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E16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6B4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A08D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7413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23.44 </w:t>
            </w:r>
          </w:p>
        </w:tc>
      </w:tr>
      <w:tr w14:paraId="26B9F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7BAC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3E34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DFA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Φ160*90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AB2F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321F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D137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27.35 </w:t>
            </w:r>
          </w:p>
        </w:tc>
      </w:tr>
      <w:tr w14:paraId="00F26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3633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5465F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A41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8EF3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9EB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F5ED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30.57 </w:t>
            </w:r>
          </w:p>
        </w:tc>
      </w:tr>
      <w:tr w14:paraId="7B918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F58C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112</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E4B9E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电熔弯头</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77E2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52F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BFB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D35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6.21 </w:t>
            </w:r>
          </w:p>
        </w:tc>
      </w:tr>
      <w:tr w14:paraId="52A16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A8F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5A93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F5EE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Φ40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344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9D4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F48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9.20 </w:t>
            </w:r>
          </w:p>
        </w:tc>
      </w:tr>
      <w:tr w14:paraId="55BA6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D408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125BB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A5E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6213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F25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CC1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13.30 </w:t>
            </w:r>
          </w:p>
        </w:tc>
      </w:tr>
      <w:tr w14:paraId="41DC6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BF3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4C8F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AA96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4BC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F33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78C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12.73 </w:t>
            </w:r>
          </w:p>
        </w:tc>
      </w:tr>
      <w:tr w14:paraId="49770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F143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EF56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70CE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Φ75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F5BE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005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647F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18.25 </w:t>
            </w:r>
          </w:p>
        </w:tc>
      </w:tr>
      <w:tr w14:paraId="7A474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3E8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798E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585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9CD8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021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C13F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35.16 </w:t>
            </w:r>
          </w:p>
        </w:tc>
      </w:tr>
      <w:tr w14:paraId="7490B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C7B4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52777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F81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Φ125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4E10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6EA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0E1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49.40 </w:t>
            </w:r>
          </w:p>
        </w:tc>
      </w:tr>
      <w:tr w14:paraId="24ADD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5E99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119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6F8B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51FB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4F10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C7B8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C9C1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84.23 </w:t>
            </w:r>
          </w:p>
        </w:tc>
      </w:tr>
      <w:tr w14:paraId="5B2B1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182F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120</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EE5B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36CA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75E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FBF7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F0D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175.82 </w:t>
            </w:r>
          </w:p>
        </w:tc>
      </w:tr>
      <w:tr w14:paraId="679C6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878F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121</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A9E9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电熔法兰头</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F0E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359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F6B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8196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6.68 </w:t>
            </w:r>
          </w:p>
        </w:tc>
      </w:tr>
      <w:tr w14:paraId="65C8C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B609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122</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7E6F9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2BB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Φ40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3D1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7C5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D36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7.42 </w:t>
            </w:r>
          </w:p>
        </w:tc>
      </w:tr>
      <w:tr w14:paraId="3B864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759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E1F2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CE1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68A3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AD0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F79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8.24 </w:t>
            </w:r>
          </w:p>
        </w:tc>
      </w:tr>
      <w:tr w14:paraId="3162F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FF8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E1B4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79A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E51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6BB5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CDD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10.82 </w:t>
            </w:r>
          </w:p>
        </w:tc>
      </w:tr>
      <w:tr w14:paraId="47DA0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557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3D8C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9C3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Φ75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310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C5C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D678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16.97 </w:t>
            </w:r>
          </w:p>
        </w:tc>
      </w:tr>
      <w:tr w14:paraId="02306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7A2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08A1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5A8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EE8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699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FEFD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30.28 </w:t>
            </w:r>
          </w:p>
        </w:tc>
      </w:tr>
      <w:tr w14:paraId="35048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F9A2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844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B57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Φ125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197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5F7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7CE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46.33 </w:t>
            </w:r>
          </w:p>
        </w:tc>
      </w:tr>
      <w:tr w14:paraId="4FF93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FE82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6BB0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C303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7F7B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DF39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886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44.30 </w:t>
            </w:r>
          </w:p>
        </w:tc>
      </w:tr>
      <w:tr w14:paraId="7CF09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39D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129</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3B53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A5A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D512">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980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EB1D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69.62 </w:t>
            </w:r>
          </w:p>
        </w:tc>
      </w:tr>
      <w:tr w14:paraId="56740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BBC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130</w:t>
            </w:r>
          </w:p>
        </w:tc>
        <w:tc>
          <w:tcPr>
            <w:tcW w:w="4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1596A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电容法兰片</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543D">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Φ32</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57D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062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6019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14.70 </w:t>
            </w:r>
          </w:p>
        </w:tc>
      </w:tr>
      <w:tr w14:paraId="23AF4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F92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131</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FF28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76C6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Φ40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7EAA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3CA8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305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16.33 </w:t>
            </w:r>
          </w:p>
        </w:tc>
      </w:tr>
      <w:tr w14:paraId="10AC9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AAE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132</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6CCAB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132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Φ50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EB5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3C3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D1FB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17.92 </w:t>
            </w:r>
          </w:p>
        </w:tc>
      </w:tr>
      <w:tr w14:paraId="5CE6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A6E0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133</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72428">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0264">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Φ63</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222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83A0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012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19.04 </w:t>
            </w:r>
          </w:p>
        </w:tc>
      </w:tr>
      <w:tr w14:paraId="1A045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FC5B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134</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1BFD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D5F6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Φ75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D11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6E2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95A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26.05 </w:t>
            </w:r>
          </w:p>
        </w:tc>
      </w:tr>
      <w:tr w14:paraId="67244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2C5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135</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579F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2326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Φ110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B631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F4F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71207">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31.46 </w:t>
            </w:r>
          </w:p>
        </w:tc>
      </w:tr>
      <w:tr w14:paraId="4B209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03EE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136</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A29E3">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21F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Φ125</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3EF5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7E45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56DCA">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39.74 </w:t>
            </w:r>
          </w:p>
        </w:tc>
      </w:tr>
      <w:tr w14:paraId="7A7F1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4D0D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137</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093E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99AB6">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Φ160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ECFCE">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F456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455B">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48.02 </w:t>
            </w:r>
          </w:p>
        </w:tc>
      </w:tr>
      <w:tr w14:paraId="500B6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7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5D89">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138</w:t>
            </w:r>
          </w:p>
        </w:tc>
        <w:tc>
          <w:tcPr>
            <w:tcW w:w="4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1E6C65">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20E1">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Φ200</w:t>
            </w:r>
          </w:p>
        </w:tc>
        <w:tc>
          <w:tcPr>
            <w:tcW w:w="5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C492F">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个</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3C53C">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2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67C0">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 xml:space="preserve">72.13 </w:t>
            </w:r>
          </w:p>
        </w:tc>
      </w:tr>
    </w:tbl>
    <w:p w14:paraId="2600C4EA">
      <w:pPr>
        <w:keepNext w:val="0"/>
        <w:keepLines w:val="0"/>
        <w:pageBreakBefore w:val="0"/>
        <w:overflowPunct/>
        <w:topLinePunct w:val="0"/>
        <w:bidi w:val="0"/>
        <w:spacing w:line="360" w:lineRule="auto"/>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※：1-10项PE管为核心产品。</w:t>
      </w:r>
    </w:p>
    <w:p w14:paraId="50C666C3">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22" w:firstLineChars="175"/>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b/>
          <w:bCs/>
          <w:color w:val="auto"/>
          <w:spacing w:val="0"/>
          <w:kern w:val="0"/>
          <w:position w:val="0"/>
          <w:sz w:val="24"/>
          <w:szCs w:val="24"/>
          <w:highlight w:val="none"/>
          <w:lang w:val="en-US" w:eastAsia="zh-CN"/>
        </w:rPr>
        <w:t>注：</w:t>
      </w:r>
      <w:r>
        <w:rPr>
          <w:rFonts w:hint="eastAsia" w:ascii="宋体" w:hAnsi="宋体" w:eastAsia="宋体" w:cs="宋体"/>
          <w:color w:val="auto"/>
          <w:spacing w:val="0"/>
          <w:kern w:val="0"/>
          <w:position w:val="0"/>
          <w:sz w:val="24"/>
          <w:szCs w:val="24"/>
          <w:highlight w:val="none"/>
          <w:lang w:val="en-US" w:eastAsia="zh-CN"/>
        </w:rPr>
        <w:t>1、本项目投标报价采用综合折扣报价，最终结算以预算单价*中标折扣*实际发生量。</w:t>
      </w:r>
    </w:p>
    <w:p w14:paraId="701976F5">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20" w:firstLineChars="175"/>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2、投标人应以包括涉及项目的所有费用进行报价，应包括（但不限于）货品、包装、装卸、运输、保险、管理服务及税金等一切直接和间接费用以及利润的总和。</w:t>
      </w:r>
    </w:p>
    <w:p w14:paraId="74884AD1">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20" w:firstLineChars="175"/>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b w:val="0"/>
          <w:bCs w:val="0"/>
          <w:color w:val="auto"/>
          <w:kern w:val="0"/>
          <w:sz w:val="24"/>
          <w:szCs w:val="24"/>
          <w:highlight w:val="none"/>
          <w:lang w:val="en-US" w:eastAsia="zh-CN"/>
        </w:rPr>
        <w:t>3、完成本项目采购金额</w:t>
      </w:r>
      <w:r>
        <w:rPr>
          <w:rFonts w:hint="eastAsia" w:ascii="宋体" w:hAnsi="宋体" w:eastAsia="宋体" w:cs="宋体"/>
          <w:b w:val="0"/>
          <w:bCs w:val="0"/>
          <w:color w:val="auto"/>
          <w:sz w:val="24"/>
          <w:szCs w:val="24"/>
          <w:highlight w:val="none"/>
          <w:lang w:val="en-US" w:eastAsia="zh-CN"/>
        </w:rPr>
        <w:t>50万元</w:t>
      </w:r>
      <w:r>
        <w:rPr>
          <w:rFonts w:hint="eastAsia" w:ascii="宋体" w:hAnsi="宋体" w:eastAsia="宋体" w:cs="宋体"/>
          <w:b w:val="0"/>
          <w:bCs w:val="0"/>
          <w:color w:val="auto"/>
          <w:sz w:val="24"/>
          <w:szCs w:val="24"/>
          <w:highlight w:val="none"/>
          <w:lang w:eastAsia="zh-CN"/>
        </w:rPr>
        <w:t>或1年采购服务期满，</w:t>
      </w:r>
      <w:r>
        <w:rPr>
          <w:rFonts w:hint="eastAsia" w:ascii="宋体" w:hAnsi="宋体" w:eastAsia="宋体" w:cs="宋体"/>
          <w:b w:val="0"/>
          <w:bCs w:val="0"/>
          <w:color w:val="auto"/>
          <w:sz w:val="24"/>
          <w:szCs w:val="24"/>
          <w:highlight w:val="none"/>
          <w:lang w:val="en-US" w:eastAsia="zh-CN"/>
        </w:rPr>
        <w:t>以先到达为准，则</w:t>
      </w:r>
      <w:r>
        <w:rPr>
          <w:rFonts w:hint="eastAsia" w:ascii="宋体" w:hAnsi="宋体" w:eastAsia="宋体" w:cs="宋体"/>
          <w:b w:val="0"/>
          <w:bCs w:val="0"/>
          <w:color w:val="auto"/>
          <w:sz w:val="24"/>
          <w:szCs w:val="24"/>
          <w:highlight w:val="none"/>
          <w:lang w:eastAsia="zh-CN"/>
        </w:rPr>
        <w:t>采购合同终</w:t>
      </w:r>
      <w:r>
        <w:rPr>
          <w:rFonts w:hint="eastAsia" w:ascii="宋体" w:hAnsi="宋体" w:eastAsia="宋体" w:cs="宋体"/>
          <w:b w:val="0"/>
          <w:bCs w:val="0"/>
          <w:color w:val="auto"/>
          <w:sz w:val="24"/>
          <w:szCs w:val="24"/>
          <w:highlight w:val="none"/>
          <w:lang w:val="en-US" w:eastAsia="zh-CN"/>
        </w:rPr>
        <w:t>止</w:t>
      </w:r>
      <w:r>
        <w:rPr>
          <w:rFonts w:hint="eastAsia" w:ascii="宋体" w:hAnsi="宋体" w:eastAsia="宋体" w:cs="宋体"/>
          <w:color w:val="auto"/>
          <w:spacing w:val="0"/>
          <w:kern w:val="0"/>
          <w:position w:val="0"/>
          <w:sz w:val="24"/>
          <w:szCs w:val="24"/>
          <w:highlight w:val="none"/>
          <w:lang w:val="en-US" w:eastAsia="zh-CN"/>
        </w:rPr>
        <w:t>。</w:t>
      </w:r>
    </w:p>
    <w:p w14:paraId="6CF4F45D">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20" w:firstLineChars="175"/>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4、本项目无法确定具体数量，根据采购人实际需求供货，结算以实际发生额为准。</w:t>
      </w:r>
    </w:p>
    <w:p w14:paraId="17763C5C">
      <w:pPr>
        <w:keepNext w:val="0"/>
        <w:keepLines w:val="0"/>
        <w:pageBreakBefore w:val="0"/>
        <w:overflowPunct/>
        <w:topLinePunct w:val="0"/>
        <w:bidi w:val="0"/>
        <w:spacing w:line="360" w:lineRule="auto"/>
        <w:rPr>
          <w:rFonts w:hint="eastAsia" w:eastAsia="宋体" w:cs="宋体"/>
          <w:b/>
          <w:color w:val="auto"/>
          <w:sz w:val="32"/>
          <w:szCs w:val="32"/>
          <w:highlight w:val="none"/>
          <w:lang w:val="en-US" w:eastAsia="zh-CN"/>
        </w:rPr>
      </w:pPr>
      <w:r>
        <w:rPr>
          <w:rFonts w:hint="eastAsia" w:eastAsia="宋体" w:cs="宋体"/>
          <w:b/>
          <w:color w:val="auto"/>
          <w:sz w:val="32"/>
          <w:szCs w:val="32"/>
          <w:highlight w:val="none"/>
          <w:lang w:val="en-US" w:eastAsia="zh-CN"/>
        </w:rPr>
        <w:br w:type="page"/>
      </w:r>
    </w:p>
    <w:p w14:paraId="3B6288D6">
      <w:pPr>
        <w:pStyle w:val="27"/>
        <w:keepNext w:val="0"/>
        <w:keepLines w:val="0"/>
        <w:pageBreakBefore w:val="0"/>
        <w:numPr>
          <w:ilvl w:val="2"/>
          <w:numId w:val="0"/>
        </w:numPr>
        <w:tabs>
          <w:tab w:val="left" w:pos="9781"/>
        </w:tabs>
        <w:kinsoku/>
        <w:wordWrap/>
        <w:overflowPunct/>
        <w:topLinePunct w:val="0"/>
        <w:autoSpaceDE/>
        <w:autoSpaceDN/>
        <w:bidi w:val="0"/>
        <w:snapToGrid w:val="0"/>
        <w:spacing w:before="0" w:line="360" w:lineRule="auto"/>
        <w:ind w:right="0" w:rightChars="0"/>
        <w:jc w:val="both"/>
        <w:textAlignment w:val="auto"/>
        <w:rPr>
          <w:rFonts w:hint="eastAsia" w:eastAsia="宋体" w:cs="宋体"/>
          <w:b/>
          <w:color w:val="auto"/>
          <w:sz w:val="32"/>
          <w:szCs w:val="32"/>
          <w:highlight w:val="none"/>
          <w:lang w:val="en-US" w:eastAsia="zh-CN"/>
        </w:rPr>
      </w:pPr>
      <w:r>
        <w:rPr>
          <w:rFonts w:hint="eastAsia" w:ascii="宋体" w:hAnsi="宋体" w:eastAsia="宋体" w:cs="宋体"/>
          <w:b/>
          <w:snapToGrid w:val="0"/>
          <w:color w:val="auto"/>
          <w:kern w:val="0"/>
          <w:sz w:val="32"/>
          <w:szCs w:val="32"/>
          <w:lang w:val="en-US" w:eastAsia="zh-CN" w:bidi="ar-SA"/>
        </w:rPr>
        <w:t>（二）</w:t>
      </w:r>
      <w:r>
        <w:rPr>
          <w:rFonts w:hint="eastAsia" w:eastAsia="宋体" w:cs="宋体"/>
          <w:b/>
          <w:color w:val="auto"/>
          <w:sz w:val="32"/>
          <w:szCs w:val="32"/>
          <w:highlight w:val="none"/>
          <w:lang w:val="en-US" w:eastAsia="zh-CN"/>
        </w:rPr>
        <w:t>技术参数</w:t>
      </w:r>
    </w:p>
    <w:p w14:paraId="4539FCB1">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color w:val="auto"/>
          <w:spacing w:val="0"/>
          <w:kern w:val="0"/>
          <w:position w:val="0"/>
          <w:sz w:val="24"/>
          <w:szCs w:val="24"/>
          <w:highlight w:val="none"/>
          <w:lang w:val="en-US" w:eastAsia="zh-CN"/>
        </w:rPr>
      </w:pPr>
      <w:r>
        <w:rPr>
          <w:rFonts w:hint="eastAsia" w:ascii="宋体" w:hAnsi="宋体" w:eastAsia="宋体" w:cs="宋体"/>
          <w:b/>
          <w:bCs/>
          <w:color w:val="auto"/>
          <w:spacing w:val="0"/>
          <w:kern w:val="0"/>
          <w:position w:val="0"/>
          <w:sz w:val="24"/>
          <w:szCs w:val="24"/>
          <w:highlight w:val="none"/>
          <w:lang w:val="en-US" w:eastAsia="zh-CN"/>
        </w:rPr>
        <w:t>1、管材</w:t>
      </w:r>
    </w:p>
    <w:p w14:paraId="53AABDEA">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（1）产品</w:t>
      </w:r>
      <w:r>
        <w:rPr>
          <w:rFonts w:hint="eastAsia" w:ascii="宋体" w:hAnsi="宋体" w:eastAsia="宋体" w:cs="宋体"/>
          <w:b w:val="0"/>
          <w:bCs/>
          <w:color w:val="auto"/>
          <w:kern w:val="2"/>
          <w:sz w:val="24"/>
          <w:highlight w:val="none"/>
          <w:lang w:val="en-US" w:eastAsia="zh-CN"/>
        </w:rPr>
        <w:t>质量</w:t>
      </w:r>
      <w:r>
        <w:rPr>
          <w:rFonts w:hint="eastAsia" w:ascii="宋体" w:hAnsi="宋体" w:eastAsia="宋体" w:cs="宋体"/>
          <w:color w:val="auto"/>
          <w:spacing w:val="0"/>
          <w:kern w:val="0"/>
          <w:position w:val="0"/>
          <w:sz w:val="24"/>
          <w:szCs w:val="24"/>
          <w:highlight w:val="none"/>
          <w:lang w:val="en-US" w:eastAsia="zh-CN"/>
        </w:rPr>
        <w:t>必须符合GB/T13663.1-2017和GB/T13663.2-2018标准。</w:t>
      </w:r>
    </w:p>
    <w:p w14:paraId="4C12636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（2）各种</w:t>
      </w:r>
      <w:r>
        <w:rPr>
          <w:rFonts w:hint="eastAsia" w:ascii="宋体" w:hAnsi="宋体" w:eastAsia="宋体" w:cs="宋体"/>
          <w:b w:val="0"/>
          <w:bCs/>
          <w:color w:val="auto"/>
          <w:kern w:val="2"/>
          <w:sz w:val="24"/>
          <w:highlight w:val="none"/>
          <w:lang w:val="en-US" w:eastAsia="zh-CN"/>
        </w:rPr>
        <w:t>PE</w:t>
      </w:r>
      <w:r>
        <w:rPr>
          <w:rFonts w:hint="eastAsia" w:ascii="宋体" w:hAnsi="宋体" w:eastAsia="宋体" w:cs="宋体"/>
          <w:color w:val="auto"/>
          <w:spacing w:val="0"/>
          <w:kern w:val="0"/>
          <w:position w:val="0"/>
          <w:sz w:val="24"/>
          <w:szCs w:val="24"/>
          <w:highlight w:val="none"/>
          <w:lang w:val="en-US" w:eastAsia="zh-CN"/>
        </w:rPr>
        <w:t>管原料要求为PE100级。全新料生产，严禁使用回收料或废料。</w:t>
      </w:r>
    </w:p>
    <w:p w14:paraId="19F13B9D">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（3）所供产品必须保证是原厂生产全新产品，在产品明显位置须</w:t>
      </w:r>
      <w:r>
        <w:rPr>
          <w:rFonts w:hint="eastAsia" w:ascii="宋体" w:hAnsi="宋体" w:eastAsia="宋体" w:cs="宋体"/>
          <w:b w:val="0"/>
          <w:bCs/>
          <w:color w:val="auto"/>
          <w:kern w:val="2"/>
          <w:sz w:val="24"/>
          <w:highlight w:val="none"/>
          <w:lang w:val="en-US" w:eastAsia="zh-CN"/>
        </w:rPr>
        <w:t>清晰</w:t>
      </w:r>
      <w:r>
        <w:rPr>
          <w:rFonts w:hint="eastAsia" w:ascii="宋体" w:hAnsi="宋体" w:eastAsia="宋体" w:cs="宋体"/>
          <w:color w:val="auto"/>
          <w:spacing w:val="0"/>
          <w:kern w:val="0"/>
          <w:position w:val="0"/>
          <w:sz w:val="24"/>
          <w:szCs w:val="24"/>
          <w:highlight w:val="none"/>
          <w:lang w:val="en-US" w:eastAsia="zh-CN"/>
        </w:rPr>
        <w:t>注塑标明生产厂家（或产品商标）、原料等级、耐压要求、规格型号、生产日期等相关产品信息，颜色为黑色管。</w:t>
      </w:r>
    </w:p>
    <w:p w14:paraId="5B046BC2">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（4）PE管材米重参照PE管材国家标准尺寸比要求。</w:t>
      </w:r>
    </w:p>
    <w:p w14:paraId="067E35D0">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（5）相关性能要求:</w:t>
      </w:r>
    </w:p>
    <w:p w14:paraId="6CC757CF">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管材表面应</w:t>
      </w:r>
      <w:r>
        <w:rPr>
          <w:rFonts w:hint="eastAsia" w:ascii="宋体" w:hAnsi="宋体" w:eastAsia="宋体" w:cs="宋体"/>
          <w:b w:val="0"/>
          <w:bCs/>
          <w:color w:val="auto"/>
          <w:kern w:val="2"/>
          <w:sz w:val="24"/>
          <w:highlight w:val="none"/>
          <w:lang w:val="en-US" w:eastAsia="zh-CN"/>
        </w:rPr>
        <w:t>清洁</w:t>
      </w:r>
      <w:r>
        <w:rPr>
          <w:rFonts w:hint="eastAsia" w:ascii="宋体" w:hAnsi="宋体" w:eastAsia="宋体" w:cs="宋体"/>
          <w:color w:val="auto"/>
          <w:spacing w:val="0"/>
          <w:kern w:val="0"/>
          <w:position w:val="0"/>
          <w:sz w:val="24"/>
          <w:szCs w:val="24"/>
          <w:highlight w:val="none"/>
          <w:lang w:val="en-US" w:eastAsia="zh-CN"/>
        </w:rPr>
        <w:t>、光滑,不允许有气泡、明显的创伤、凹陷、颜色不均匀等缺陷。管端应切割平整,并与轴线垂直。</w:t>
      </w:r>
    </w:p>
    <w:p w14:paraId="1424FE9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 PE管材主要物理性能满足下表要求，其余严格按照国家执行标准:GB/T13663.1-2017和GB/T 13663.2-2018</w:t>
      </w:r>
    </w:p>
    <w:tbl>
      <w:tblPr>
        <w:tblStyle w:val="18"/>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
        <w:gridCol w:w="4507"/>
        <w:gridCol w:w="4364"/>
      </w:tblGrid>
      <w:tr w14:paraId="2DF70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162943B3">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5E3F9C5C">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028CDDAF">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要求</w:t>
            </w:r>
          </w:p>
        </w:tc>
      </w:tr>
      <w:tr w14:paraId="3B4B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190B2233">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41EB7F36">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断裂伸长率</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267155C2">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≥350%</w:t>
            </w:r>
          </w:p>
        </w:tc>
      </w:tr>
      <w:tr w14:paraId="47348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5D1384CF">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66588DF7">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纵向回缩率(110℃)</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623D10B9">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r>
      <w:tr w14:paraId="60FA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5E625DED">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251065CD">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氧化诱导时间(210℃)</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70E10A82">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 min</w:t>
            </w:r>
          </w:p>
        </w:tc>
      </w:tr>
      <w:tr w14:paraId="5B27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118DFAF7">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625D80E7">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线膨胀系数</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6E368A2F">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0.15-0.20mm/m℃</w:t>
            </w:r>
          </w:p>
        </w:tc>
      </w:tr>
      <w:tr w14:paraId="45A1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10DB7DF1">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26EC5302">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短期（3min）</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790A6028">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900（PE80）-1100（PE100）MPa</w:t>
            </w:r>
          </w:p>
        </w:tc>
      </w:tr>
      <w:tr w14:paraId="3DA3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15F95F03">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7FC70925">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导热系数</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010A3997">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0.4W/MK</w:t>
            </w:r>
          </w:p>
        </w:tc>
      </w:tr>
      <w:tr w14:paraId="26BAE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2ADB00EE">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0ADF15FE">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密度</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4DAC85FE">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≥0.93g/cm3</w:t>
            </w:r>
          </w:p>
        </w:tc>
      </w:tr>
      <w:tr w14:paraId="4CD3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7DF57458">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62E27826">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弹性模量</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4707CC0D">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p>
        </w:tc>
      </w:tr>
      <w:tr w14:paraId="255E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498" w:type="pct"/>
            <w:tcBorders>
              <w:top w:val="single" w:color="auto" w:sz="4" w:space="0"/>
              <w:left w:val="single" w:color="auto" w:sz="4" w:space="0"/>
              <w:bottom w:val="single" w:color="auto" w:sz="4" w:space="0"/>
              <w:right w:val="single" w:color="auto" w:sz="4" w:space="0"/>
            </w:tcBorders>
            <w:noWrap w:val="0"/>
            <w:vAlign w:val="center"/>
          </w:tcPr>
          <w:p w14:paraId="1714B601">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2287" w:type="pct"/>
            <w:tcBorders>
              <w:top w:val="single" w:color="auto" w:sz="4" w:space="0"/>
              <w:left w:val="single" w:color="auto" w:sz="4" w:space="0"/>
              <w:bottom w:val="single" w:color="auto" w:sz="4" w:space="0"/>
              <w:right w:val="single" w:color="auto" w:sz="4" w:space="0"/>
            </w:tcBorders>
            <w:noWrap w:val="0"/>
            <w:vAlign w:val="center"/>
          </w:tcPr>
          <w:p w14:paraId="2F26B4D6">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长期（50年）</w:t>
            </w:r>
          </w:p>
        </w:tc>
        <w:tc>
          <w:tcPr>
            <w:tcW w:w="2214" w:type="pct"/>
            <w:tcBorders>
              <w:top w:val="single" w:color="auto" w:sz="4" w:space="0"/>
              <w:left w:val="single" w:color="auto" w:sz="4" w:space="0"/>
              <w:bottom w:val="single" w:color="auto" w:sz="4" w:space="0"/>
              <w:right w:val="single" w:color="auto" w:sz="4" w:space="0"/>
            </w:tcBorders>
            <w:noWrap w:val="0"/>
            <w:vAlign w:val="center"/>
          </w:tcPr>
          <w:p w14:paraId="5C15B1C2">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200MPa</w:t>
            </w:r>
          </w:p>
        </w:tc>
      </w:tr>
    </w:tbl>
    <w:p w14:paraId="2C9FF4EB">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2） PE</w:t>
      </w:r>
      <w:r>
        <w:rPr>
          <w:rFonts w:hint="eastAsia" w:ascii="宋体" w:hAnsi="宋体" w:eastAsia="宋体" w:cs="宋体"/>
          <w:b w:val="0"/>
          <w:bCs/>
          <w:color w:val="auto"/>
          <w:kern w:val="2"/>
          <w:sz w:val="24"/>
          <w:highlight w:val="none"/>
          <w:lang w:val="en-US" w:eastAsia="zh-CN"/>
        </w:rPr>
        <w:t>管材</w:t>
      </w:r>
      <w:r>
        <w:rPr>
          <w:rFonts w:hint="eastAsia" w:ascii="宋体" w:hAnsi="宋体" w:eastAsia="宋体" w:cs="宋体"/>
          <w:color w:val="auto"/>
          <w:spacing w:val="0"/>
          <w:kern w:val="0"/>
          <w:position w:val="0"/>
          <w:sz w:val="24"/>
          <w:szCs w:val="24"/>
          <w:highlight w:val="none"/>
          <w:lang w:val="en-US" w:eastAsia="zh-CN"/>
        </w:rPr>
        <w:t>静液压强度:严格按照国家执行标：GB/T13663.1-2017和GB/T 13663.2-2018</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3124"/>
        <w:gridCol w:w="1112"/>
        <w:gridCol w:w="1116"/>
        <w:gridCol w:w="1287"/>
        <w:gridCol w:w="2231"/>
      </w:tblGrid>
      <w:tr w14:paraId="4434C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jc w:val="center"/>
        </w:trPr>
        <w:tc>
          <w:tcPr>
            <w:tcW w:w="497" w:type="pct"/>
            <w:vMerge w:val="restart"/>
            <w:tcBorders>
              <w:top w:val="single" w:color="auto" w:sz="4" w:space="0"/>
              <w:left w:val="single" w:color="auto" w:sz="4" w:space="0"/>
              <w:bottom w:val="single" w:color="auto" w:sz="4" w:space="0"/>
              <w:right w:val="single" w:color="auto" w:sz="4" w:space="0"/>
            </w:tcBorders>
            <w:noWrap w:val="0"/>
            <w:vAlign w:val="center"/>
          </w:tcPr>
          <w:p w14:paraId="2F82039D">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85" w:type="pct"/>
            <w:vMerge w:val="restart"/>
            <w:tcBorders>
              <w:top w:val="single" w:color="auto" w:sz="4" w:space="0"/>
              <w:left w:val="single" w:color="auto" w:sz="4" w:space="0"/>
              <w:bottom w:val="single" w:color="auto" w:sz="4" w:space="0"/>
              <w:right w:val="single" w:color="auto" w:sz="4" w:space="0"/>
            </w:tcBorders>
            <w:noWrap w:val="0"/>
            <w:vAlign w:val="center"/>
          </w:tcPr>
          <w:p w14:paraId="6CC61CCF">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项目</w:t>
            </w:r>
          </w:p>
        </w:tc>
        <w:tc>
          <w:tcPr>
            <w:tcW w:w="1783" w:type="pct"/>
            <w:gridSpan w:val="3"/>
            <w:tcBorders>
              <w:top w:val="single" w:color="auto" w:sz="4" w:space="0"/>
              <w:left w:val="single" w:color="auto" w:sz="4" w:space="0"/>
              <w:bottom w:val="single" w:color="auto" w:sz="4" w:space="0"/>
              <w:right w:val="single" w:color="auto" w:sz="4" w:space="0"/>
            </w:tcBorders>
            <w:noWrap w:val="0"/>
            <w:vAlign w:val="center"/>
          </w:tcPr>
          <w:p w14:paraId="2819CF62">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环应力</w:t>
            </w:r>
          </w:p>
        </w:tc>
        <w:tc>
          <w:tcPr>
            <w:tcW w:w="1132" w:type="pct"/>
            <w:vMerge w:val="restart"/>
            <w:tcBorders>
              <w:top w:val="single" w:color="auto" w:sz="4" w:space="0"/>
              <w:left w:val="single" w:color="auto" w:sz="4" w:space="0"/>
              <w:bottom w:val="single" w:color="auto" w:sz="4" w:space="0"/>
              <w:right w:val="single" w:color="auto" w:sz="4" w:space="0"/>
            </w:tcBorders>
            <w:noWrap w:val="0"/>
            <w:vAlign w:val="center"/>
          </w:tcPr>
          <w:p w14:paraId="04C80BC4">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要求</w:t>
            </w:r>
          </w:p>
        </w:tc>
      </w:tr>
      <w:tr w14:paraId="1404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 w:hRule="atLeast"/>
          <w:jc w:val="center"/>
        </w:trPr>
        <w:tc>
          <w:tcPr>
            <w:tcW w:w="497" w:type="pct"/>
            <w:vMerge w:val="continue"/>
            <w:tcBorders>
              <w:top w:val="single" w:color="auto" w:sz="4" w:space="0"/>
              <w:left w:val="single" w:color="auto" w:sz="4" w:space="0"/>
              <w:bottom w:val="single" w:color="auto" w:sz="4" w:space="0"/>
              <w:right w:val="single" w:color="auto" w:sz="4" w:space="0"/>
            </w:tcBorders>
            <w:noWrap w:val="0"/>
            <w:vAlign w:val="center"/>
          </w:tcPr>
          <w:p w14:paraId="6032DEF8">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p>
        </w:tc>
        <w:tc>
          <w:tcPr>
            <w:tcW w:w="1585" w:type="pct"/>
            <w:vMerge w:val="continue"/>
            <w:tcBorders>
              <w:top w:val="single" w:color="auto" w:sz="4" w:space="0"/>
              <w:left w:val="single" w:color="auto" w:sz="4" w:space="0"/>
              <w:bottom w:val="single" w:color="auto" w:sz="4" w:space="0"/>
              <w:right w:val="single" w:color="auto" w:sz="4" w:space="0"/>
            </w:tcBorders>
            <w:noWrap w:val="0"/>
            <w:vAlign w:val="center"/>
          </w:tcPr>
          <w:p w14:paraId="5D27FA65">
            <w:pPr>
              <w:keepNext w:val="0"/>
              <w:keepLines w:val="0"/>
              <w:pageBreakBefore w:val="0"/>
              <w:widowControl/>
              <w:tabs>
                <w:tab w:val="left" w:pos="542"/>
              </w:tabs>
              <w:overflowPunct/>
              <w:topLinePunct w:val="0"/>
              <w:bidi w:val="0"/>
              <w:spacing w:line="240" w:lineRule="auto"/>
              <w:jc w:val="left"/>
              <w:rPr>
                <w:rFonts w:hint="eastAsia" w:ascii="仿宋" w:hAnsi="仿宋" w:eastAsia="仿宋" w:cs="仿宋"/>
                <w:b w:val="0"/>
                <w:color w:val="000000"/>
                <w:sz w:val="24"/>
                <w:szCs w:val="24"/>
              </w:rPr>
            </w:pPr>
          </w:p>
        </w:tc>
        <w:tc>
          <w:tcPr>
            <w:tcW w:w="564" w:type="pct"/>
            <w:tcBorders>
              <w:top w:val="single" w:color="auto" w:sz="4" w:space="0"/>
              <w:left w:val="single" w:color="auto" w:sz="4" w:space="0"/>
              <w:bottom w:val="single" w:color="auto" w:sz="4" w:space="0"/>
              <w:right w:val="single" w:color="auto" w:sz="4" w:space="0"/>
            </w:tcBorders>
            <w:noWrap w:val="0"/>
            <w:vAlign w:val="center"/>
          </w:tcPr>
          <w:p w14:paraId="242799A2">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Pe63</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64888CA6">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Pe80</w:t>
            </w:r>
          </w:p>
        </w:tc>
        <w:tc>
          <w:tcPr>
            <w:tcW w:w="652" w:type="pct"/>
            <w:tcBorders>
              <w:top w:val="single" w:color="auto" w:sz="4" w:space="0"/>
              <w:left w:val="single" w:color="auto" w:sz="4" w:space="0"/>
              <w:bottom w:val="single" w:color="auto" w:sz="4" w:space="0"/>
              <w:right w:val="single" w:color="auto" w:sz="4" w:space="0"/>
            </w:tcBorders>
            <w:noWrap w:val="0"/>
            <w:vAlign w:val="center"/>
          </w:tcPr>
          <w:p w14:paraId="1FDAD483">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Pe100</w:t>
            </w:r>
          </w:p>
        </w:tc>
        <w:tc>
          <w:tcPr>
            <w:tcW w:w="1132" w:type="pct"/>
            <w:vMerge w:val="continue"/>
            <w:tcBorders>
              <w:top w:val="single" w:color="auto" w:sz="4" w:space="0"/>
              <w:left w:val="single" w:color="auto" w:sz="4" w:space="0"/>
              <w:bottom w:val="single" w:color="auto" w:sz="4" w:space="0"/>
              <w:right w:val="single" w:color="auto" w:sz="4" w:space="0"/>
            </w:tcBorders>
            <w:noWrap w:val="0"/>
            <w:vAlign w:val="center"/>
          </w:tcPr>
          <w:p w14:paraId="395D720A">
            <w:pPr>
              <w:keepNext w:val="0"/>
              <w:keepLines w:val="0"/>
              <w:pageBreakBefore w:val="0"/>
              <w:widowControl/>
              <w:tabs>
                <w:tab w:val="left" w:pos="542"/>
              </w:tabs>
              <w:overflowPunct/>
              <w:topLinePunct w:val="0"/>
              <w:bidi w:val="0"/>
              <w:spacing w:line="240" w:lineRule="auto"/>
              <w:jc w:val="left"/>
              <w:rPr>
                <w:rFonts w:hint="eastAsia" w:ascii="仿宋" w:hAnsi="仿宋" w:eastAsia="仿宋" w:cs="仿宋"/>
                <w:b w:val="0"/>
                <w:color w:val="000000"/>
                <w:sz w:val="24"/>
                <w:szCs w:val="24"/>
              </w:rPr>
            </w:pPr>
          </w:p>
        </w:tc>
      </w:tr>
      <w:tr w14:paraId="0F042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97" w:type="pct"/>
            <w:tcBorders>
              <w:top w:val="single" w:color="auto" w:sz="4" w:space="0"/>
              <w:left w:val="single" w:color="auto" w:sz="4" w:space="0"/>
              <w:bottom w:val="single" w:color="auto" w:sz="4" w:space="0"/>
              <w:right w:val="single" w:color="auto" w:sz="4" w:space="0"/>
            </w:tcBorders>
            <w:noWrap w:val="0"/>
            <w:vAlign w:val="center"/>
          </w:tcPr>
          <w:p w14:paraId="435D0E85">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585" w:type="pct"/>
            <w:tcBorders>
              <w:top w:val="single" w:color="auto" w:sz="4" w:space="0"/>
              <w:left w:val="single" w:color="auto" w:sz="4" w:space="0"/>
              <w:bottom w:val="single" w:color="auto" w:sz="4" w:space="0"/>
              <w:right w:val="single" w:color="auto" w:sz="4" w:space="0"/>
            </w:tcBorders>
            <w:noWrap w:val="0"/>
            <w:vAlign w:val="center"/>
          </w:tcPr>
          <w:p w14:paraId="37E5FA30">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20℃静液压强度(100h)</w:t>
            </w:r>
          </w:p>
        </w:tc>
        <w:tc>
          <w:tcPr>
            <w:tcW w:w="564" w:type="pct"/>
            <w:tcBorders>
              <w:top w:val="single" w:color="auto" w:sz="4" w:space="0"/>
              <w:left w:val="single" w:color="auto" w:sz="4" w:space="0"/>
              <w:bottom w:val="single" w:color="auto" w:sz="4" w:space="0"/>
              <w:right w:val="single" w:color="auto" w:sz="4" w:space="0"/>
            </w:tcBorders>
            <w:noWrap w:val="0"/>
            <w:vAlign w:val="center"/>
          </w:tcPr>
          <w:p w14:paraId="01047AD2">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8.0</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0CF02331">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9.0</w:t>
            </w:r>
          </w:p>
        </w:tc>
        <w:tc>
          <w:tcPr>
            <w:tcW w:w="652" w:type="pct"/>
            <w:tcBorders>
              <w:top w:val="single" w:color="auto" w:sz="4" w:space="0"/>
              <w:left w:val="single" w:color="auto" w:sz="4" w:space="0"/>
              <w:bottom w:val="single" w:color="auto" w:sz="4" w:space="0"/>
              <w:right w:val="single" w:color="auto" w:sz="4" w:space="0"/>
            </w:tcBorders>
            <w:noWrap w:val="0"/>
            <w:vAlign w:val="center"/>
          </w:tcPr>
          <w:p w14:paraId="542046E3">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12.4</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68712AD2">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不破裂,不渗漏</w:t>
            </w:r>
          </w:p>
        </w:tc>
      </w:tr>
      <w:tr w14:paraId="2DBCD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497" w:type="pct"/>
            <w:tcBorders>
              <w:top w:val="single" w:color="auto" w:sz="4" w:space="0"/>
              <w:left w:val="single" w:color="auto" w:sz="4" w:space="0"/>
              <w:bottom w:val="single" w:color="auto" w:sz="4" w:space="0"/>
              <w:right w:val="single" w:color="auto" w:sz="4" w:space="0"/>
            </w:tcBorders>
            <w:noWrap w:val="0"/>
            <w:vAlign w:val="center"/>
          </w:tcPr>
          <w:p w14:paraId="6936E7A0">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585" w:type="pct"/>
            <w:tcBorders>
              <w:top w:val="single" w:color="auto" w:sz="4" w:space="0"/>
              <w:left w:val="single" w:color="auto" w:sz="4" w:space="0"/>
              <w:bottom w:val="single" w:color="auto" w:sz="4" w:space="0"/>
              <w:right w:val="single" w:color="auto" w:sz="4" w:space="0"/>
            </w:tcBorders>
            <w:noWrap w:val="0"/>
            <w:vAlign w:val="center"/>
          </w:tcPr>
          <w:p w14:paraId="54A9E305">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80℃静液压强度(165h)</w:t>
            </w:r>
          </w:p>
        </w:tc>
        <w:tc>
          <w:tcPr>
            <w:tcW w:w="564" w:type="pct"/>
            <w:tcBorders>
              <w:top w:val="single" w:color="auto" w:sz="4" w:space="0"/>
              <w:left w:val="single" w:color="auto" w:sz="4" w:space="0"/>
              <w:bottom w:val="single" w:color="auto" w:sz="4" w:space="0"/>
              <w:right w:val="single" w:color="auto" w:sz="4" w:space="0"/>
            </w:tcBorders>
            <w:noWrap w:val="0"/>
            <w:vAlign w:val="center"/>
          </w:tcPr>
          <w:p w14:paraId="5654EFFC">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6B151C63">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4.6</w:t>
            </w:r>
          </w:p>
        </w:tc>
        <w:tc>
          <w:tcPr>
            <w:tcW w:w="652" w:type="pct"/>
            <w:tcBorders>
              <w:top w:val="single" w:color="auto" w:sz="4" w:space="0"/>
              <w:left w:val="single" w:color="auto" w:sz="4" w:space="0"/>
              <w:bottom w:val="single" w:color="auto" w:sz="4" w:space="0"/>
              <w:right w:val="single" w:color="auto" w:sz="4" w:space="0"/>
            </w:tcBorders>
            <w:noWrap w:val="0"/>
            <w:vAlign w:val="center"/>
          </w:tcPr>
          <w:p w14:paraId="4DF38BD6">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4C73FD44">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不破裂,不渗漏</w:t>
            </w:r>
          </w:p>
        </w:tc>
      </w:tr>
      <w:tr w14:paraId="3D2E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497" w:type="pct"/>
            <w:tcBorders>
              <w:top w:val="single" w:color="auto" w:sz="4" w:space="0"/>
              <w:left w:val="single" w:color="auto" w:sz="4" w:space="0"/>
              <w:bottom w:val="single" w:color="auto" w:sz="4" w:space="0"/>
              <w:right w:val="single" w:color="auto" w:sz="4" w:space="0"/>
            </w:tcBorders>
            <w:noWrap w:val="0"/>
            <w:vAlign w:val="center"/>
          </w:tcPr>
          <w:p w14:paraId="7608415C">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585" w:type="pct"/>
            <w:tcBorders>
              <w:top w:val="single" w:color="auto" w:sz="4" w:space="0"/>
              <w:left w:val="single" w:color="auto" w:sz="4" w:space="0"/>
              <w:bottom w:val="single" w:color="auto" w:sz="4" w:space="0"/>
              <w:right w:val="single" w:color="auto" w:sz="4" w:space="0"/>
            </w:tcBorders>
            <w:noWrap w:val="0"/>
            <w:vAlign w:val="center"/>
          </w:tcPr>
          <w:p w14:paraId="21C25880">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80℃静液压强度(100h)</w:t>
            </w:r>
          </w:p>
        </w:tc>
        <w:tc>
          <w:tcPr>
            <w:tcW w:w="564" w:type="pct"/>
            <w:tcBorders>
              <w:top w:val="single" w:color="auto" w:sz="4" w:space="0"/>
              <w:left w:val="single" w:color="auto" w:sz="4" w:space="0"/>
              <w:bottom w:val="single" w:color="auto" w:sz="4" w:space="0"/>
              <w:right w:val="single" w:color="auto" w:sz="4" w:space="0"/>
            </w:tcBorders>
            <w:noWrap w:val="0"/>
            <w:vAlign w:val="center"/>
          </w:tcPr>
          <w:p w14:paraId="2EA8988F">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7C936F14">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4.0</w:t>
            </w:r>
          </w:p>
        </w:tc>
        <w:tc>
          <w:tcPr>
            <w:tcW w:w="652" w:type="pct"/>
            <w:tcBorders>
              <w:top w:val="single" w:color="auto" w:sz="4" w:space="0"/>
              <w:left w:val="single" w:color="auto" w:sz="4" w:space="0"/>
              <w:bottom w:val="single" w:color="auto" w:sz="4" w:space="0"/>
              <w:right w:val="single" w:color="auto" w:sz="4" w:space="0"/>
            </w:tcBorders>
            <w:noWrap w:val="0"/>
            <w:vAlign w:val="center"/>
          </w:tcPr>
          <w:p w14:paraId="50A81C9C">
            <w:pPr>
              <w:keepNext w:val="0"/>
              <w:keepLines w:val="0"/>
              <w:pageBreakBefore w:val="0"/>
              <w:overflowPunct/>
              <w:topLinePunct w:val="0"/>
              <w:bidi w:val="0"/>
              <w:spacing w:line="240" w:lineRule="auto"/>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5.0</w:t>
            </w:r>
          </w:p>
        </w:tc>
        <w:tc>
          <w:tcPr>
            <w:tcW w:w="1132" w:type="pct"/>
            <w:tcBorders>
              <w:top w:val="single" w:color="auto" w:sz="4" w:space="0"/>
              <w:left w:val="single" w:color="auto" w:sz="4" w:space="0"/>
              <w:bottom w:val="single" w:color="auto" w:sz="4" w:space="0"/>
              <w:right w:val="single" w:color="auto" w:sz="4" w:space="0"/>
            </w:tcBorders>
            <w:noWrap w:val="0"/>
            <w:vAlign w:val="center"/>
          </w:tcPr>
          <w:p w14:paraId="55DD51C1">
            <w:pPr>
              <w:keepNext w:val="0"/>
              <w:keepLines w:val="0"/>
              <w:pageBreakBefore w:val="0"/>
              <w:overflowPunct/>
              <w:topLinePunct w:val="0"/>
              <w:bidi w:val="0"/>
              <w:spacing w:line="24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不破裂,不渗漏</w:t>
            </w:r>
          </w:p>
        </w:tc>
      </w:tr>
    </w:tbl>
    <w:p w14:paraId="01A660B0">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color w:val="auto"/>
          <w:spacing w:val="0"/>
          <w:kern w:val="0"/>
          <w:position w:val="0"/>
          <w:sz w:val="24"/>
          <w:szCs w:val="24"/>
          <w:highlight w:val="none"/>
          <w:lang w:val="en-US" w:eastAsia="zh-CN"/>
        </w:rPr>
      </w:pPr>
      <w:r>
        <w:rPr>
          <w:rFonts w:hint="eastAsia" w:ascii="宋体" w:hAnsi="宋体" w:eastAsia="宋体" w:cs="宋体"/>
          <w:b/>
          <w:bCs/>
          <w:color w:val="auto"/>
          <w:spacing w:val="0"/>
          <w:kern w:val="0"/>
          <w:position w:val="0"/>
          <w:sz w:val="24"/>
          <w:szCs w:val="24"/>
          <w:highlight w:val="none"/>
          <w:lang w:val="en-US" w:eastAsia="zh-CN"/>
        </w:rPr>
        <w:t>2、管件</w:t>
      </w:r>
    </w:p>
    <w:p w14:paraId="37B3410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（1）产品质量</w:t>
      </w:r>
      <w:r>
        <w:rPr>
          <w:rFonts w:hint="eastAsia" w:ascii="宋体" w:hAnsi="宋体" w:eastAsia="宋体" w:cs="宋体"/>
          <w:b w:val="0"/>
          <w:bCs/>
          <w:color w:val="auto"/>
          <w:kern w:val="2"/>
          <w:sz w:val="24"/>
          <w:highlight w:val="none"/>
          <w:lang w:val="en-US" w:eastAsia="zh-CN"/>
        </w:rPr>
        <w:t>必须</w:t>
      </w:r>
      <w:r>
        <w:rPr>
          <w:rFonts w:hint="eastAsia" w:ascii="宋体" w:hAnsi="宋体" w:eastAsia="宋体" w:cs="宋体"/>
          <w:color w:val="auto"/>
          <w:spacing w:val="0"/>
          <w:kern w:val="0"/>
          <w:position w:val="0"/>
          <w:sz w:val="24"/>
          <w:szCs w:val="24"/>
          <w:highlight w:val="none"/>
          <w:lang w:val="en-US" w:eastAsia="zh-CN"/>
        </w:rPr>
        <w:t>符合GB/T13663.3-2018标准。以上标准如有更新按国家新标准要求。</w:t>
      </w:r>
    </w:p>
    <w:p w14:paraId="0971174D">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（2）各种PE配件原料要求为PE100级。全新料生产，严禁使用其它原材料、回收料或废料。</w:t>
      </w:r>
    </w:p>
    <w:p w14:paraId="58765F2F">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（3）耐压要求：详见采购清单，与管材配套。</w:t>
      </w:r>
    </w:p>
    <w:p w14:paraId="5A6CB0FA">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（4）所供产品必须保证是原厂生产全新产品，在产品明显位置须清晰注塑标明生产厂家（或产品商标）、原料等级、耐压要求、规格型号、生产日期等相关产品信息，颜色为黑色管。</w:t>
      </w:r>
    </w:p>
    <w:p w14:paraId="61194A23">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（5）所有产品及生产过程必须符合《饮用水卫生许可证》要求。</w:t>
      </w:r>
    </w:p>
    <w:p w14:paraId="21B12784">
      <w:pPr>
        <w:keepNext w:val="0"/>
        <w:keepLines w:val="0"/>
        <w:pageBreakBefore w:val="0"/>
        <w:widowControl w:val="0"/>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b/>
          <w:bCs/>
          <w:color w:val="auto"/>
          <w:spacing w:val="0"/>
          <w:kern w:val="0"/>
          <w:position w:val="0"/>
          <w:sz w:val="24"/>
          <w:szCs w:val="24"/>
          <w:highlight w:val="none"/>
          <w:lang w:val="en-US" w:eastAsia="zh-CN"/>
        </w:rPr>
      </w:pPr>
      <w:r>
        <w:rPr>
          <w:rFonts w:hint="eastAsia" w:ascii="宋体" w:hAnsi="宋体" w:eastAsia="宋体" w:cs="宋体"/>
          <w:b/>
          <w:bCs/>
          <w:color w:val="auto"/>
          <w:spacing w:val="0"/>
          <w:kern w:val="0"/>
          <w:position w:val="0"/>
          <w:sz w:val="24"/>
          <w:szCs w:val="24"/>
          <w:highlight w:val="none"/>
          <w:lang w:val="en-US" w:eastAsia="zh-CN"/>
        </w:rPr>
        <w:t>3、为了保证整个管线的工程质量，管材及管件应为同一品牌产品。</w:t>
      </w:r>
    </w:p>
    <w:p w14:paraId="7E812AEC">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（1）执行标准：国家给水用聚乙烯(PE)管道系统生产标准（GB/T13663.2-2018）</w:t>
      </w:r>
    </w:p>
    <w:p w14:paraId="40540C47">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（2）Ф20－63口径管材为承插热熔连接，Ф75口径以上管材为对接热熔连接。</w:t>
      </w:r>
    </w:p>
    <w:p w14:paraId="46DB611C">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（3）材料要求：经挤出成型的给水用聚乙烯（PE）管材必须用聚乙烯脂为主要原料;也可在聚乙烯基础树脂中加入必要的抗氧剂、紫外线稳定剂和颜料制造而成混配料生产聚乙烯管材，混配料为蓝色或黑色。</w:t>
      </w:r>
    </w:p>
    <w:p w14:paraId="68E708B8">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pacing w:val="0"/>
          <w:kern w:val="0"/>
          <w:position w:val="0"/>
          <w:sz w:val="24"/>
          <w:szCs w:val="24"/>
          <w:highlight w:val="none"/>
          <w:lang w:val="en-US" w:eastAsia="zh-CN"/>
        </w:rPr>
      </w:pPr>
      <w:r>
        <w:rPr>
          <w:rFonts w:hint="eastAsia" w:ascii="宋体" w:hAnsi="宋体" w:eastAsia="宋体" w:cs="宋体"/>
          <w:color w:val="auto"/>
          <w:spacing w:val="0"/>
          <w:kern w:val="0"/>
          <w:position w:val="0"/>
          <w:sz w:val="24"/>
          <w:szCs w:val="24"/>
          <w:highlight w:val="none"/>
          <w:lang w:val="en-US" w:eastAsia="zh-CN"/>
        </w:rPr>
        <w:t>注：</w:t>
      </w:r>
      <w:r>
        <w:rPr>
          <w:rFonts w:hint="eastAsia" w:ascii="宋体" w:hAnsi="宋体" w:eastAsia="宋体" w:cs="宋体"/>
          <w:color w:val="auto"/>
          <w:sz w:val="24"/>
          <w:szCs w:val="24"/>
          <w:highlight w:val="none"/>
        </w:rPr>
        <w:t>1、以下所列产品中如有仅指某生产商的，则仅供参考，投标人在满足或优于所要求的技术参数基础上可自行选择生产商及型号。</w:t>
      </w:r>
    </w:p>
    <w:p w14:paraId="5625238B">
      <w:pPr>
        <w:pStyle w:val="21"/>
        <w:keepNext w:val="0"/>
        <w:keepLines w:val="0"/>
        <w:pageBreakBefore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所投产品</w:t>
      </w:r>
      <w:r>
        <w:rPr>
          <w:rFonts w:hint="eastAsia" w:ascii="宋体" w:hAnsi="宋体" w:eastAsia="宋体" w:cs="宋体"/>
          <w:color w:val="auto"/>
          <w:sz w:val="24"/>
          <w:szCs w:val="24"/>
          <w:highlight w:val="none"/>
          <w:lang w:val="en-US" w:eastAsia="zh-CN"/>
        </w:rPr>
        <w:t>如有最新</w:t>
      </w:r>
      <w:r>
        <w:rPr>
          <w:rFonts w:hint="eastAsia" w:ascii="宋体" w:hAnsi="宋体" w:eastAsia="宋体" w:cs="宋体"/>
          <w:color w:val="auto"/>
          <w:sz w:val="24"/>
          <w:szCs w:val="24"/>
          <w:highlight w:val="none"/>
        </w:rPr>
        <w:t>最新国家标准或行业标准</w:t>
      </w:r>
      <w:r>
        <w:rPr>
          <w:rFonts w:hint="eastAsia" w:ascii="宋体" w:hAnsi="宋体" w:eastAsia="宋体" w:cs="宋体"/>
          <w:color w:val="auto"/>
          <w:sz w:val="24"/>
          <w:szCs w:val="24"/>
          <w:highlight w:val="none"/>
          <w:lang w:val="en-US" w:eastAsia="zh-CN"/>
        </w:rPr>
        <w:t>的按最新标准</w:t>
      </w:r>
      <w:r>
        <w:rPr>
          <w:rFonts w:hint="eastAsia" w:ascii="宋体" w:hAnsi="宋体" w:eastAsia="宋体" w:cs="宋体"/>
          <w:color w:val="auto"/>
          <w:sz w:val="24"/>
          <w:szCs w:val="24"/>
          <w:highlight w:val="none"/>
        </w:rPr>
        <w:t>执行。</w:t>
      </w:r>
    </w:p>
    <w:p w14:paraId="71F020FA">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0" w:firstLineChars="200"/>
        <w:jc w:val="both"/>
        <w:textAlignment w:val="baseline"/>
        <w:rPr>
          <w:rFonts w:hint="default" w:ascii="宋体" w:hAnsi="宋体" w:eastAsia="宋体" w:cs="宋体"/>
          <w:color w:val="auto"/>
          <w:spacing w:val="0"/>
          <w:kern w:val="0"/>
          <w:position w:val="0"/>
          <w:sz w:val="24"/>
          <w:szCs w:val="24"/>
          <w:highlight w:val="none"/>
          <w:lang w:val="en-US" w:eastAsia="zh-CN"/>
        </w:rPr>
      </w:pPr>
    </w:p>
    <w:p w14:paraId="07B7F328">
      <w:pPr>
        <w:pStyle w:val="27"/>
        <w:keepNext w:val="0"/>
        <w:keepLines w:val="0"/>
        <w:pageBreakBefore w:val="0"/>
        <w:numPr>
          <w:ilvl w:val="0"/>
          <w:numId w:val="0"/>
        </w:numPr>
        <w:tabs>
          <w:tab w:val="left" w:pos="9781"/>
        </w:tabs>
        <w:kinsoku/>
        <w:wordWrap/>
        <w:overflowPunct/>
        <w:topLinePunct w:val="0"/>
        <w:autoSpaceDE/>
        <w:autoSpaceDN/>
        <w:bidi w:val="0"/>
        <w:snapToGrid w:val="0"/>
        <w:spacing w:before="0" w:line="360" w:lineRule="auto"/>
        <w:ind w:right="0" w:rightChars="0" w:firstLine="321" w:firstLineChars="100"/>
        <w:textAlignment w:val="auto"/>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14:paraId="34A329FE">
      <w:pPr>
        <w:keepNext w:val="0"/>
        <w:keepLines w:val="0"/>
        <w:pageBreakBefore w:val="0"/>
        <w:widowControl w:val="0"/>
        <w:wordWrap/>
        <w:overflowPunct/>
        <w:topLinePunct w:val="0"/>
        <w:bidi w:val="0"/>
        <w:spacing w:line="360" w:lineRule="auto"/>
        <w:ind w:left="0" w:leftChars="0" w:right="0" w:rightChars="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二</w:t>
      </w:r>
      <w:r>
        <w:rPr>
          <w:rFonts w:hint="eastAsia" w:ascii="宋体" w:hAnsi="宋体" w:eastAsia="宋体" w:cs="宋体"/>
          <w:b/>
          <w:color w:val="auto"/>
          <w:sz w:val="32"/>
          <w:szCs w:val="32"/>
          <w:highlight w:val="none"/>
        </w:rPr>
        <w:t>、商务条款</w:t>
      </w:r>
    </w:p>
    <w:p w14:paraId="24F3EA5D">
      <w:pPr>
        <w:keepNext w:val="0"/>
        <w:keepLines w:val="0"/>
        <w:pageBreakBefore w:val="0"/>
        <w:widowControl w:val="0"/>
        <w:shd w:val="clear"/>
        <w:wordWrap/>
        <w:overflowPunct/>
        <w:topLinePunct w:val="0"/>
        <w:bidi w:val="0"/>
        <w:spacing w:line="360" w:lineRule="auto"/>
        <w:ind w:left="0" w:leftChars="0" w:right="0" w:rightChars="0"/>
        <w:rPr>
          <w:rFonts w:hint="default" w:ascii="宋体" w:hAnsi="宋体" w:eastAsia="宋体" w:cs="宋体"/>
          <w:color w:val="auto"/>
          <w:spacing w:val="0"/>
          <w:w w:val="100"/>
          <w:position w:val="0"/>
          <w:highlight w:val="none"/>
          <w:lang w:val="en-US" w:eastAsia="zh-CN"/>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1、供货期限</w:t>
      </w: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w:t>
      </w:r>
      <w:r>
        <w:rPr>
          <w:rFonts w:hint="eastAsia" w:ascii="宋体" w:hAnsi="宋体" w:eastAsia="Arial" w:cs="宋体"/>
          <w:b w:val="0"/>
          <w:bCs w:val="0"/>
          <w:color w:val="000000"/>
          <w:kern w:val="0"/>
          <w:sz w:val="24"/>
          <w:szCs w:val="24"/>
          <w:vertAlign w:val="baseline"/>
          <w:lang w:val="zh-CN" w:eastAsia="zh-CN" w:bidi="ar"/>
        </w:rPr>
        <w:t>本项目为分批次供货，实际以采购人下发供货通知之日起，7天内须货到现场。投标人提供的全部货物均应按标准保护措施进行包装，这类包装应适用于远距离运输、防潮、防震、防锈和防野蛮装卸，以确保货物安全无损运抵指定现场。由于包装不善引起的货物损坏和损失均由投标人负责。</w:t>
      </w:r>
    </w:p>
    <w:p w14:paraId="578ED994">
      <w:pPr>
        <w:keepNext w:val="0"/>
        <w:keepLines w:val="0"/>
        <w:pageBreakBefore w:val="0"/>
        <w:widowControl w:val="0"/>
        <w:shd w:val="clear"/>
        <w:wordWrap/>
        <w:overflowPunct/>
        <w:topLinePunct w:val="0"/>
        <w:bidi w:val="0"/>
        <w:spacing w:line="360" w:lineRule="auto"/>
        <w:ind w:left="0" w:leftChars="0" w:right="0" w:rightChars="0"/>
        <w:rPr>
          <w:rFonts w:hint="eastAsia" w:ascii="宋体" w:hAnsi="宋体" w:eastAsia="宋体" w:cs="宋体"/>
          <w:color w:val="auto"/>
          <w:spacing w:val="0"/>
          <w:w w:val="100"/>
          <w:position w:val="0"/>
          <w:highlight w:val="none"/>
          <w:lang w:eastAsia="zh-CN"/>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2、供货地点</w:t>
      </w: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甲方指定地点。</w:t>
      </w:r>
    </w:p>
    <w:p w14:paraId="72C1020A">
      <w:pPr>
        <w:keepNext w:val="0"/>
        <w:keepLines w:val="0"/>
        <w:pageBreakBefore w:val="0"/>
        <w:widowControl w:val="0"/>
        <w:shd w:val="clear"/>
        <w:wordWrap/>
        <w:overflowPunct/>
        <w:topLinePunct w:val="0"/>
        <w:bidi w:val="0"/>
        <w:spacing w:line="360" w:lineRule="auto"/>
        <w:ind w:left="0" w:leftChars="0" w:right="0" w:rightChars="0"/>
        <w:rPr>
          <w:rFonts w:hint="eastAsia" w:ascii="宋体" w:hAnsi="宋体" w:eastAsia="宋体" w:cs="宋体"/>
          <w:color w:val="auto"/>
          <w:spacing w:val="0"/>
          <w:w w:val="100"/>
          <w:position w:val="0"/>
          <w:highlight w:val="none"/>
          <w:lang w:eastAsia="zh-CN"/>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3、</w:t>
      </w: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付款方式：</w:t>
      </w:r>
      <w:r>
        <w:rPr>
          <w:rFonts w:hint="eastAsia" w:ascii="宋体" w:hAnsi="宋体" w:cs="宋体"/>
          <w:sz w:val="24"/>
          <w:szCs w:val="24"/>
        </w:rPr>
        <w:t>签定合同后，在每批次付款时扣除该批次货款的5%，乙方分批次将货物送至甲方指定场所，由甲方人员现场签收产品（品名、规格型号、数量、质量），待甲方分批次验收后支付该批次货款，每批次货款的5%在甲方完成全部货物的验收合格后一年内付清。在甲方支付每笔款项前，乙方需提供合法有效的等额增值税专用发票，甲方审核无误后向乙方支付该笔款项。</w:t>
      </w:r>
    </w:p>
    <w:p w14:paraId="0A767B44">
      <w:pPr>
        <w:keepNext w:val="0"/>
        <w:keepLines w:val="0"/>
        <w:pageBreakBefore w:val="0"/>
        <w:tabs>
          <w:tab w:val="left" w:pos="9660"/>
        </w:tabs>
        <w:wordWrap/>
        <w:overflowPunct/>
        <w:topLinePunct w:val="0"/>
        <w:autoSpaceDE w:val="0"/>
        <w:autoSpaceDN w:val="0"/>
        <w:bidi w:val="0"/>
        <w:adjustRightInd w:val="0"/>
        <w:snapToGrid w:val="0"/>
        <w:spacing w:beforeAutospacing="0" w:line="360" w:lineRule="auto"/>
        <w:ind w:left="0" w:leftChars="0" w:right="0" w:rightChars="0"/>
        <w:rPr>
          <w:rFonts w:ascii="宋体" w:hAnsi="宋体" w:cs="宋体"/>
          <w:b/>
          <w:bCs/>
          <w:kern w:val="0"/>
          <w:sz w:val="24"/>
          <w:szCs w:val="24"/>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4、报价方式：</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本项目所有投标均以</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综合折扣</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报价，报价内容包含但不限于招标文件规定</w:t>
      </w:r>
      <w:r>
        <w:rPr>
          <w:rFonts w:hint="eastAsia" w:ascii="宋体" w:hAnsi="宋体" w:cs="宋体"/>
          <w:color w:val="auto"/>
          <w:kern w:val="0"/>
          <w:sz w:val="24"/>
          <w:szCs w:val="24"/>
          <w:highlight w:val="none"/>
        </w:rPr>
        <w:t>的货物及附属</w:t>
      </w:r>
      <w:r>
        <w:rPr>
          <w:rFonts w:hint="eastAsia" w:ascii="宋体" w:hAnsi="宋体" w:cs="宋体"/>
          <w:kern w:val="0"/>
          <w:sz w:val="24"/>
          <w:szCs w:val="24"/>
        </w:rPr>
        <w:t>售后服务、标准附件、备品备件、专用工具、安装、调试、税金、检验、培训、技术服务、运至最终目的地的运费、</w:t>
      </w:r>
      <w:r>
        <w:rPr>
          <w:rFonts w:hint="eastAsia" w:ascii="宋体" w:hAnsi="宋体" w:cs="宋体"/>
          <w:kern w:val="0"/>
          <w:sz w:val="24"/>
          <w:szCs w:val="24"/>
          <w:lang w:eastAsia="zh-CN"/>
        </w:rPr>
        <w:t>运输</w:t>
      </w:r>
      <w:r>
        <w:rPr>
          <w:rFonts w:hint="eastAsia" w:ascii="宋体" w:hAnsi="宋体" w:cs="宋体"/>
          <w:kern w:val="0"/>
          <w:sz w:val="24"/>
          <w:szCs w:val="24"/>
        </w:rPr>
        <w:t>保险费、人工费等完成本项目所需的一切相关费用。具体以实际发生量据实结算。</w:t>
      </w:r>
    </w:p>
    <w:p w14:paraId="033624F5">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val="en-US" w:eastAsia="zh-CN"/>
        </w:rPr>
        <w:t>5、</w:t>
      </w:r>
      <w:r>
        <w:rPr>
          <w:rFonts w:hint="eastAsia" w:asciiTheme="minorEastAsia" w:hAnsiTheme="minorEastAsia" w:eastAsiaTheme="minorEastAsia" w:cstheme="minorEastAsia"/>
          <w:b/>
          <w:bCs/>
          <w:color w:val="auto"/>
          <w:sz w:val="24"/>
          <w:szCs w:val="24"/>
          <w:highlight w:val="none"/>
        </w:rPr>
        <w:t>售后服务要求</w:t>
      </w:r>
    </w:p>
    <w:p w14:paraId="17AA5BA1">
      <w:pPr>
        <w:keepNext w:val="0"/>
        <w:keepLines w:val="0"/>
        <w:pageBreakBefore w:val="0"/>
        <w:tabs>
          <w:tab w:val="left" w:pos="9660"/>
        </w:tabs>
        <w:wordWrap/>
        <w:overflowPunct/>
        <w:topLinePunct w:val="0"/>
        <w:autoSpaceDE w:val="0"/>
        <w:autoSpaceDN w:val="0"/>
        <w:bidi w:val="0"/>
        <w:adjustRightInd w:val="0"/>
        <w:snapToGrid w:val="0"/>
        <w:spacing w:beforeAutospacing="0" w:line="360" w:lineRule="auto"/>
        <w:ind w:left="0" w:leftChars="0" w:right="0" w:rightChars="0" w:firstLine="360" w:firstLineChars="150"/>
        <w:rPr>
          <w:rFonts w:hint="eastAsia" w:asciiTheme="minorEastAsia" w:hAnsiTheme="minorEastAsia" w:eastAsiaTheme="minorEastAsia" w:cstheme="minorEastAsia"/>
          <w:color w:val="auto"/>
          <w:sz w:val="24"/>
          <w:szCs w:val="24"/>
          <w:highlight w:val="none"/>
          <w:u w:val="none"/>
          <w:lang w:val="en-US" w:eastAsia="zh-CN"/>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lang w:eastAsia="zh-CN"/>
        </w:rPr>
        <w:t>）服务期限：</w:t>
      </w:r>
      <w:r>
        <w:rPr>
          <w:rFonts w:hint="eastAsia" w:asciiTheme="minorEastAsia" w:hAnsiTheme="minorEastAsia" w:eastAsiaTheme="minorEastAsia" w:cstheme="minorEastAsia"/>
          <w:color w:val="auto"/>
          <w:sz w:val="24"/>
          <w:highlight w:val="none"/>
          <w:lang w:val="en-US" w:eastAsia="zh-CN"/>
        </w:rPr>
        <w:t>投标人</w:t>
      </w:r>
      <w:r>
        <w:rPr>
          <w:rFonts w:hint="eastAsia" w:asciiTheme="minorEastAsia" w:hAnsiTheme="minorEastAsia" w:eastAsiaTheme="minorEastAsia" w:cstheme="minorEastAsia"/>
          <w:color w:val="auto"/>
          <w:sz w:val="24"/>
          <w:szCs w:val="24"/>
          <w:highlight w:val="none"/>
          <w:lang w:eastAsia="zh-CN"/>
        </w:rPr>
        <w:t>所投货物必须为全新的、符合国家有关质量标准的产品；所供产品质量保证期为</w:t>
      </w:r>
      <w:r>
        <w:rPr>
          <w:rFonts w:hint="eastAsia" w:asciiTheme="minorEastAsia" w:hAnsiTheme="minorEastAsia" w:eastAsiaTheme="minorEastAsia" w:cstheme="minorEastAsia"/>
          <w:color w:val="auto"/>
          <w:sz w:val="24"/>
          <w:szCs w:val="24"/>
          <w:highlight w:val="none"/>
          <w:lang w:val="en-US" w:eastAsia="zh-CN"/>
        </w:rPr>
        <w:t>两</w:t>
      </w:r>
      <w:r>
        <w:rPr>
          <w:rFonts w:hint="eastAsia" w:asciiTheme="minorEastAsia" w:hAnsiTheme="minorEastAsia" w:eastAsiaTheme="minorEastAsia" w:cstheme="minorEastAsia"/>
          <w:color w:val="auto"/>
          <w:sz w:val="24"/>
          <w:szCs w:val="24"/>
          <w:highlight w:val="none"/>
          <w:lang w:eastAsia="zh-CN"/>
        </w:rPr>
        <w:t>年（相关标准大于</w:t>
      </w:r>
      <w:r>
        <w:rPr>
          <w:rFonts w:hint="eastAsia" w:asciiTheme="minorEastAsia" w:hAnsiTheme="minorEastAsia" w:eastAsiaTheme="minorEastAsia" w:cstheme="minorEastAsia"/>
          <w:color w:val="auto"/>
          <w:sz w:val="24"/>
          <w:szCs w:val="24"/>
          <w:highlight w:val="none"/>
          <w:lang w:val="en-US" w:eastAsia="zh-CN"/>
        </w:rPr>
        <w:t>两</w:t>
      </w:r>
      <w:r>
        <w:rPr>
          <w:rFonts w:hint="eastAsia" w:asciiTheme="minorEastAsia" w:hAnsiTheme="minorEastAsia" w:eastAsiaTheme="minorEastAsia" w:cstheme="minorEastAsia"/>
          <w:color w:val="auto"/>
          <w:sz w:val="24"/>
          <w:szCs w:val="24"/>
          <w:highlight w:val="none"/>
          <w:lang w:eastAsia="zh-CN"/>
        </w:rPr>
        <w:t>年的，按相</w:t>
      </w:r>
      <w:r>
        <w:rPr>
          <w:rFonts w:hint="eastAsia" w:asciiTheme="minorEastAsia" w:hAnsiTheme="minorEastAsia" w:eastAsiaTheme="minorEastAsia" w:cstheme="minorEastAsia"/>
          <w:color w:val="auto"/>
          <w:sz w:val="24"/>
          <w:szCs w:val="24"/>
          <w:highlight w:val="none"/>
          <w:u w:val="none"/>
          <w:lang w:eastAsia="zh-CN"/>
        </w:rPr>
        <w:t>关标准执行）。</w:t>
      </w:r>
    </w:p>
    <w:p w14:paraId="7D2B7A7A">
      <w:pPr>
        <w:keepNext w:val="0"/>
        <w:keepLines w:val="0"/>
        <w:pageBreakBefore w:val="0"/>
        <w:tabs>
          <w:tab w:val="left" w:pos="9660"/>
        </w:tabs>
        <w:wordWrap/>
        <w:overflowPunct/>
        <w:topLinePunct w:val="0"/>
        <w:autoSpaceDE w:val="0"/>
        <w:autoSpaceDN w:val="0"/>
        <w:bidi w:val="0"/>
        <w:adjustRightInd w:val="0"/>
        <w:snapToGrid w:val="0"/>
        <w:spacing w:beforeAutospacing="0" w:line="360" w:lineRule="auto"/>
        <w:ind w:left="0" w:leftChars="0" w:right="0" w:rightChars="0" w:firstLine="360" w:firstLineChars="1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u w:val="none"/>
          <w:lang w:eastAsia="zh-CN"/>
        </w:rPr>
        <w:t>（</w:t>
      </w:r>
      <w:r>
        <w:rPr>
          <w:rFonts w:hint="eastAsia" w:asciiTheme="minorEastAsia" w:hAnsiTheme="minorEastAsia" w:eastAsiaTheme="minorEastAsia" w:cstheme="minorEastAsia"/>
          <w:color w:val="auto"/>
          <w:sz w:val="24"/>
          <w:szCs w:val="28"/>
          <w:highlight w:val="none"/>
          <w:u w:val="none"/>
          <w:lang w:val="en-US" w:eastAsia="zh-CN"/>
        </w:rPr>
        <w:t>2</w:t>
      </w:r>
      <w:r>
        <w:rPr>
          <w:rFonts w:hint="eastAsia" w:asciiTheme="minorEastAsia" w:hAnsiTheme="minorEastAsia" w:eastAsiaTheme="minorEastAsia" w:cstheme="minorEastAsia"/>
          <w:color w:val="auto"/>
          <w:sz w:val="24"/>
          <w:szCs w:val="28"/>
          <w:highlight w:val="none"/>
          <w:u w:val="none"/>
          <w:lang w:eastAsia="zh-CN"/>
        </w:rPr>
        <w:t>）</w:t>
      </w:r>
      <w:r>
        <w:rPr>
          <w:rFonts w:hint="eastAsia" w:asciiTheme="minorEastAsia" w:hAnsiTheme="minorEastAsia" w:eastAsiaTheme="minorEastAsia" w:cstheme="minorEastAsia"/>
          <w:color w:val="auto"/>
          <w:sz w:val="24"/>
          <w:szCs w:val="28"/>
          <w:highlight w:val="none"/>
          <w:u w:val="none"/>
        </w:rPr>
        <w:t>质量保证期自采购人（或其授权</w:t>
      </w:r>
      <w:r>
        <w:rPr>
          <w:rFonts w:hint="eastAsia" w:asciiTheme="minorEastAsia" w:hAnsiTheme="minorEastAsia" w:eastAsiaTheme="minorEastAsia" w:cstheme="minorEastAsia"/>
          <w:color w:val="auto"/>
          <w:sz w:val="24"/>
          <w:szCs w:val="28"/>
          <w:highlight w:val="none"/>
        </w:rPr>
        <w:t>代表）在验收报告上签署“验收合格”之日起计算；质量保证期内免费维修更换配件。</w:t>
      </w:r>
    </w:p>
    <w:p w14:paraId="6FE92609">
      <w:pPr>
        <w:keepNext w:val="0"/>
        <w:keepLines w:val="0"/>
        <w:pageBreakBefore w:val="0"/>
        <w:tabs>
          <w:tab w:val="left" w:pos="9660"/>
        </w:tabs>
        <w:wordWrap/>
        <w:overflowPunct/>
        <w:topLinePunct w:val="0"/>
        <w:autoSpaceDE w:val="0"/>
        <w:autoSpaceDN w:val="0"/>
        <w:bidi w:val="0"/>
        <w:adjustRightInd w:val="0"/>
        <w:snapToGrid w:val="0"/>
        <w:spacing w:beforeAutospacing="0" w:line="360" w:lineRule="auto"/>
        <w:ind w:left="0" w:leftChars="0" w:right="0" w:rightChars="0" w:firstLine="360" w:firstLineChars="150"/>
        <w:rPr>
          <w:rFonts w:hint="eastAsia" w:asciiTheme="minorEastAsia" w:hAnsiTheme="minorEastAsia" w:eastAsiaTheme="minorEastAsia" w:cstheme="minorEastAsia"/>
          <w:color w:val="auto"/>
          <w:sz w:val="24"/>
          <w:szCs w:val="28"/>
          <w:highlight w:val="none"/>
        </w:rPr>
      </w:pP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lang w:val="en-US" w:eastAsia="zh-CN"/>
        </w:rPr>
        <w:t>3</w:t>
      </w:r>
      <w:r>
        <w:rPr>
          <w:rFonts w:hint="eastAsia" w:asciiTheme="minorEastAsia" w:hAnsiTheme="minorEastAsia" w:eastAsiaTheme="minorEastAsia" w:cstheme="minorEastAsia"/>
          <w:color w:val="auto"/>
          <w:sz w:val="24"/>
          <w:szCs w:val="28"/>
          <w:highlight w:val="none"/>
          <w:lang w:eastAsia="zh-CN"/>
        </w:rPr>
        <w:t>）</w:t>
      </w:r>
      <w:r>
        <w:rPr>
          <w:rFonts w:hint="eastAsia" w:asciiTheme="minorEastAsia" w:hAnsiTheme="minorEastAsia" w:eastAsiaTheme="minorEastAsia" w:cstheme="minorEastAsia"/>
          <w:color w:val="auto"/>
          <w:sz w:val="24"/>
          <w:szCs w:val="28"/>
          <w:highlight w:val="none"/>
        </w:rPr>
        <w:t>在质量保证期内，</w:t>
      </w:r>
      <w:r>
        <w:rPr>
          <w:rFonts w:hint="eastAsia" w:asciiTheme="minorEastAsia" w:hAnsiTheme="minorEastAsia" w:eastAsiaTheme="minorEastAsia" w:cstheme="minorEastAsia"/>
          <w:color w:val="auto"/>
          <w:sz w:val="24"/>
          <w:szCs w:val="28"/>
          <w:highlight w:val="none"/>
          <w:lang w:eastAsia="zh-CN"/>
        </w:rPr>
        <w:t>投标人</w:t>
      </w:r>
      <w:r>
        <w:rPr>
          <w:rFonts w:hint="eastAsia" w:asciiTheme="minorEastAsia" w:hAnsiTheme="minorEastAsia" w:eastAsiaTheme="minorEastAsia" w:cstheme="minorEastAsia"/>
          <w:color w:val="auto"/>
          <w:sz w:val="24"/>
          <w:szCs w:val="28"/>
          <w:highlight w:val="none"/>
        </w:rPr>
        <w:t>应常备所供货物的备品备件，接到故障通知后</w:t>
      </w:r>
      <w:r>
        <w:rPr>
          <w:rFonts w:hint="eastAsia" w:asciiTheme="minorEastAsia" w:hAnsiTheme="minorEastAsia" w:eastAsiaTheme="minorEastAsia" w:cstheme="minorEastAsia"/>
          <w:color w:val="auto"/>
          <w:sz w:val="24"/>
          <w:szCs w:val="28"/>
          <w:highlight w:val="none"/>
          <w:lang w:val="en-US" w:eastAsia="zh-CN"/>
        </w:rPr>
        <w:t>7*</w:t>
      </w:r>
      <w:r>
        <w:rPr>
          <w:rFonts w:hint="eastAsia" w:asciiTheme="minorEastAsia" w:hAnsiTheme="minorEastAsia" w:eastAsiaTheme="minorEastAsia" w:cstheme="minorEastAsia"/>
          <w:color w:val="auto"/>
          <w:sz w:val="24"/>
          <w:szCs w:val="28"/>
          <w:highlight w:val="none"/>
        </w:rPr>
        <w:t>24小时</w:t>
      </w:r>
      <w:r>
        <w:rPr>
          <w:rFonts w:hint="eastAsia" w:asciiTheme="minorEastAsia" w:hAnsiTheme="minorEastAsia" w:eastAsiaTheme="minorEastAsia" w:cstheme="minorEastAsia"/>
          <w:color w:val="auto"/>
          <w:sz w:val="24"/>
          <w:szCs w:val="28"/>
          <w:highlight w:val="none"/>
          <w:lang w:bidi="en-US"/>
        </w:rPr>
        <w:t>响应免费维修或更换，由此发生的费用（非人为损坏）由成交</w:t>
      </w:r>
      <w:r>
        <w:rPr>
          <w:rFonts w:hint="eastAsia" w:asciiTheme="minorEastAsia" w:hAnsiTheme="minorEastAsia" w:eastAsiaTheme="minorEastAsia" w:cstheme="minorEastAsia"/>
          <w:color w:val="auto"/>
          <w:sz w:val="24"/>
          <w:szCs w:val="28"/>
          <w:highlight w:val="none"/>
          <w:lang w:eastAsia="zh-CN" w:bidi="en-US"/>
        </w:rPr>
        <w:t>投标人</w:t>
      </w:r>
      <w:r>
        <w:rPr>
          <w:rFonts w:hint="eastAsia" w:asciiTheme="minorEastAsia" w:hAnsiTheme="minorEastAsia" w:eastAsiaTheme="minorEastAsia" w:cstheme="minorEastAsia"/>
          <w:color w:val="auto"/>
          <w:sz w:val="24"/>
          <w:szCs w:val="28"/>
          <w:highlight w:val="none"/>
          <w:lang w:bidi="en-US"/>
        </w:rPr>
        <w:t>承担。质量保修期内所有货物保修服务方式均为成交</w:t>
      </w:r>
      <w:r>
        <w:rPr>
          <w:rFonts w:hint="eastAsia" w:asciiTheme="minorEastAsia" w:hAnsiTheme="minorEastAsia" w:eastAsiaTheme="minorEastAsia" w:cstheme="minorEastAsia"/>
          <w:color w:val="auto"/>
          <w:sz w:val="24"/>
          <w:szCs w:val="28"/>
          <w:highlight w:val="none"/>
          <w:lang w:eastAsia="zh-CN" w:bidi="en-US"/>
        </w:rPr>
        <w:t>投标人</w:t>
      </w:r>
      <w:r>
        <w:rPr>
          <w:rFonts w:hint="eastAsia" w:asciiTheme="minorEastAsia" w:hAnsiTheme="minorEastAsia" w:eastAsiaTheme="minorEastAsia" w:cstheme="minorEastAsia"/>
          <w:color w:val="auto"/>
          <w:sz w:val="24"/>
          <w:szCs w:val="28"/>
          <w:highlight w:val="none"/>
          <w:lang w:bidi="en-US"/>
        </w:rPr>
        <w:t>上门保修，即由成交</w:t>
      </w:r>
      <w:r>
        <w:rPr>
          <w:rFonts w:hint="eastAsia" w:asciiTheme="minorEastAsia" w:hAnsiTheme="minorEastAsia" w:eastAsiaTheme="minorEastAsia" w:cstheme="minorEastAsia"/>
          <w:color w:val="auto"/>
          <w:sz w:val="24"/>
          <w:szCs w:val="28"/>
          <w:highlight w:val="none"/>
          <w:lang w:eastAsia="zh-CN" w:bidi="en-US"/>
        </w:rPr>
        <w:t>投标人</w:t>
      </w:r>
      <w:r>
        <w:rPr>
          <w:rFonts w:hint="eastAsia" w:asciiTheme="minorEastAsia" w:hAnsiTheme="minorEastAsia" w:eastAsiaTheme="minorEastAsia" w:cstheme="minorEastAsia"/>
          <w:color w:val="auto"/>
          <w:sz w:val="24"/>
          <w:szCs w:val="28"/>
          <w:highlight w:val="none"/>
          <w:lang w:bidi="en-US"/>
        </w:rPr>
        <w:t>或原厂家派员到使用现场维修。由此产生的一切费用均由成交</w:t>
      </w:r>
      <w:r>
        <w:rPr>
          <w:rFonts w:hint="eastAsia" w:asciiTheme="minorEastAsia" w:hAnsiTheme="minorEastAsia" w:eastAsiaTheme="minorEastAsia" w:cstheme="minorEastAsia"/>
          <w:color w:val="auto"/>
          <w:sz w:val="24"/>
          <w:szCs w:val="28"/>
          <w:highlight w:val="none"/>
          <w:lang w:eastAsia="zh-CN" w:bidi="en-US"/>
        </w:rPr>
        <w:t>投标人</w:t>
      </w:r>
      <w:r>
        <w:rPr>
          <w:rFonts w:hint="eastAsia" w:asciiTheme="minorEastAsia" w:hAnsiTheme="minorEastAsia" w:eastAsiaTheme="minorEastAsia" w:cstheme="minorEastAsia"/>
          <w:color w:val="auto"/>
          <w:sz w:val="24"/>
          <w:szCs w:val="28"/>
          <w:highlight w:val="none"/>
          <w:lang w:bidi="en-US"/>
        </w:rPr>
        <w:t>承担。</w:t>
      </w:r>
    </w:p>
    <w:p w14:paraId="57B82A10">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bCs/>
          <w:color w:val="auto"/>
          <w:spacing w:val="4"/>
          <w:kern w:val="2"/>
          <w:sz w:val="24"/>
          <w:szCs w:val="24"/>
          <w:highlight w:val="none"/>
          <w:lang w:val="en-US" w:eastAsia="zh-CN" w:bidi="ar-SA"/>
        </w:rPr>
      </w:pPr>
      <w:r>
        <w:rPr>
          <w:rFonts w:hint="eastAsia" w:asciiTheme="minorEastAsia" w:hAnsiTheme="minorEastAsia" w:eastAsiaTheme="minorEastAsia" w:cstheme="minorEastAsia"/>
          <w:b/>
          <w:bCs/>
          <w:color w:val="auto"/>
          <w:spacing w:val="4"/>
          <w:kern w:val="2"/>
          <w:sz w:val="24"/>
          <w:szCs w:val="24"/>
          <w:highlight w:val="none"/>
          <w:lang w:val="en-US" w:eastAsia="zh-CN" w:bidi="ar-SA"/>
        </w:rPr>
        <w:t>6、交货包装：</w:t>
      </w:r>
    </w:p>
    <w:p w14:paraId="687EB627">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96" w:firstLineChars="200"/>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t>（1）投标人提供的全部货物均应按标准保护措施进行包装，这类包装应适应于远距离运输、防潮、防震、防锈和防野蛮装卸，以确保货物安全无损运抵指定现场。由于包装不善所引起的货物锈蚀、损坏和损失均由投标人负责。</w:t>
      </w:r>
    </w:p>
    <w:p w14:paraId="1CC1394E">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96" w:firstLineChars="200"/>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t>（2）投标人交货时，须提供设备的全部资料，如产品合格证、装箱单、使用说明书、易损件清单、备品备件清单、出厂检验报告、质量保证书、产品现行完好标准、标准操作规程、维护保养规程等等。</w:t>
      </w:r>
    </w:p>
    <w:p w14:paraId="38EECE42">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96" w:firstLineChars="200"/>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t>（3）投标人提供的全部货物所有附件必须都配备齐全，所供货设备外包箱注明用户信息，原厂设备完整，不得折封，以上参数如有不符直接退货。</w:t>
      </w:r>
    </w:p>
    <w:p w14:paraId="5A05D91D">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96" w:firstLineChars="200"/>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pPr>
      <w:r>
        <w:rPr>
          <w:rFonts w:hint="eastAsia" w:asciiTheme="minorEastAsia" w:hAnsiTheme="minorEastAsia" w:eastAsiaTheme="minorEastAsia" w:cstheme="minorEastAsia"/>
          <w:b w:val="0"/>
          <w:bCs w:val="0"/>
          <w:color w:val="auto"/>
          <w:spacing w:val="4"/>
          <w:kern w:val="2"/>
          <w:sz w:val="24"/>
          <w:szCs w:val="24"/>
          <w:highlight w:val="none"/>
          <w:lang w:val="en-US" w:eastAsia="zh-CN" w:bidi="ar-SA"/>
        </w:rPr>
        <w:t>（4）如果投标人没有按照合同规定或采购人同意延长的时间交货，每延期一天，按合同总金额的1‰交付违约金；如果投标人在达到最高限额（合同总额5%）后仍不能交付的，采购人可终止合同，因此产生的一切经济损失由投标人承担；因质量问题延期交付设备时，按延期交付产品处理。</w:t>
      </w:r>
    </w:p>
    <w:p w14:paraId="1896BAAF">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bCs/>
          <w:color w:val="auto"/>
          <w:sz w:val="24"/>
          <w:szCs w:val="24"/>
          <w:highlight w:val="none"/>
          <w:lang w:val="zh-CN"/>
        </w:rPr>
      </w:pPr>
      <w:r>
        <w:rPr>
          <w:rFonts w:hint="eastAsia" w:asciiTheme="minorEastAsia" w:hAnsiTheme="minorEastAsia" w:eastAsiaTheme="minorEastAsia" w:cstheme="minorEastAsia"/>
          <w:b/>
          <w:bCs/>
          <w:color w:val="auto"/>
          <w:sz w:val="24"/>
          <w:szCs w:val="24"/>
          <w:highlight w:val="none"/>
          <w:lang w:val="en-US" w:eastAsia="zh-CN"/>
        </w:rPr>
        <w:t>7、</w:t>
      </w:r>
      <w:r>
        <w:rPr>
          <w:rFonts w:hint="eastAsia" w:asciiTheme="minorEastAsia" w:hAnsiTheme="minorEastAsia" w:eastAsiaTheme="minorEastAsia" w:cstheme="minorEastAsia"/>
          <w:b/>
          <w:bCs/>
          <w:color w:val="auto"/>
          <w:sz w:val="24"/>
          <w:szCs w:val="24"/>
          <w:highlight w:val="none"/>
          <w:lang w:val="zh-CN"/>
        </w:rPr>
        <w:t>安装、验收</w:t>
      </w:r>
    </w:p>
    <w:p w14:paraId="1A56A88F">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1</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在交货截止时间（或采购方规定的时间）内交货，有关运输和保险的一切费用由</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承担。所有货物运抵现场并验收合格后的日期为交货日期。</w:t>
      </w:r>
    </w:p>
    <w:p w14:paraId="69091F33">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bCs/>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2</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货物到现场后，采购人（或其授权代表）、</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组织相关人员共同对到货货物的数量、外观、包装质量、技术资料等进行</w:t>
      </w:r>
      <w:r>
        <w:rPr>
          <w:rFonts w:hint="eastAsia" w:asciiTheme="minorEastAsia" w:hAnsiTheme="minorEastAsia" w:eastAsiaTheme="minorEastAsia" w:cstheme="minorEastAsia"/>
          <w:color w:val="auto"/>
          <w:sz w:val="24"/>
          <w:highlight w:val="none"/>
          <w:lang w:val="en-US" w:eastAsia="zh-CN"/>
        </w:rPr>
        <w:t>确认</w:t>
      </w:r>
      <w:r>
        <w:rPr>
          <w:rFonts w:hint="eastAsia" w:asciiTheme="minorEastAsia" w:hAnsiTheme="minorEastAsia" w:eastAsiaTheme="minorEastAsia" w:cstheme="minorEastAsia"/>
          <w:color w:val="auto"/>
          <w:sz w:val="24"/>
          <w:highlight w:val="none"/>
        </w:rPr>
        <w:t>；</w:t>
      </w:r>
      <w:r>
        <w:rPr>
          <w:rFonts w:hint="eastAsia" w:asciiTheme="minorEastAsia" w:hAnsiTheme="minorEastAsia" w:eastAsiaTheme="minorEastAsia" w:cstheme="minorEastAsia"/>
          <w:b/>
          <w:bCs/>
          <w:color w:val="auto"/>
          <w:sz w:val="24"/>
          <w:highlight w:val="none"/>
        </w:rPr>
        <w:t xml:space="preserve"> </w:t>
      </w:r>
    </w:p>
    <w:p w14:paraId="1B94DDF7">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3</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货物供货完成以后，采购人有权对中标人每批送达的货物质量送第三方检测机构进行检验检测，检验检测费用由中标人承担。；货物性能达到技术要求的，给予</w:t>
      </w:r>
      <w:r>
        <w:rPr>
          <w:rFonts w:hint="eastAsia" w:asciiTheme="minorEastAsia" w:hAnsiTheme="minorEastAsia" w:eastAsiaTheme="minorEastAsia" w:cstheme="minorEastAsia"/>
          <w:color w:val="auto"/>
          <w:sz w:val="24"/>
          <w:highlight w:val="none"/>
          <w:lang w:val="en-US" w:eastAsia="zh-CN"/>
        </w:rPr>
        <w:t>验收通过</w:t>
      </w:r>
      <w:r>
        <w:rPr>
          <w:rFonts w:hint="eastAsia" w:asciiTheme="minorEastAsia" w:hAnsiTheme="minorEastAsia" w:eastAsiaTheme="minorEastAsia" w:cstheme="minorEastAsia"/>
          <w:color w:val="auto"/>
          <w:sz w:val="24"/>
          <w:highlight w:val="none"/>
        </w:rPr>
        <w:t>；验收合格后由采购人（或其授权代表）签署确认验收合格文件（一式四份）；全部技术资料等应当在验收合格后移交用户单位（业主）。发现不符合招标文件及国家标准要求的采购人有权拒收货物并随时与中标人解除合同没收其履约保证金并保留追究其责任的权利。因此产生的一切经济损失由</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承担；</w:t>
      </w:r>
    </w:p>
    <w:p w14:paraId="4D414C2D">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交付验收标准：依次序对照适用标准为：</w:t>
      </w:r>
    </w:p>
    <w:p w14:paraId="7D6DEF95">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①符合中华人民共和国国家安全质量标准、环保标准或行业标准；</w:t>
      </w:r>
    </w:p>
    <w:p w14:paraId="77F74396">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②符合</w:t>
      </w:r>
      <w:r>
        <w:rPr>
          <w:rFonts w:hint="eastAsia" w:asciiTheme="minorEastAsia" w:hAnsiTheme="minorEastAsia" w:eastAsiaTheme="minorEastAsia" w:cstheme="minorEastAsia"/>
          <w:color w:val="auto"/>
          <w:sz w:val="24"/>
          <w:highlight w:val="none"/>
          <w:lang w:eastAsia="zh-CN"/>
        </w:rPr>
        <w:t>招标</w:t>
      </w:r>
      <w:r>
        <w:rPr>
          <w:rFonts w:hint="eastAsia" w:asciiTheme="minorEastAsia" w:hAnsiTheme="minorEastAsia" w:eastAsiaTheme="minorEastAsia" w:cstheme="minorEastAsia"/>
          <w:color w:val="auto"/>
          <w:sz w:val="24"/>
          <w:highlight w:val="none"/>
        </w:rPr>
        <w:t>文件和投标承诺中采购人认可的合理最佳配置、参数及各项要求；</w:t>
      </w:r>
    </w:p>
    <w:p w14:paraId="00C4CFE3">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③货物来源国官方标准。</w:t>
      </w:r>
    </w:p>
    <w:p w14:paraId="1F607AC7">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840" w:firstLineChars="35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上述标准必须是有关官方机构发布的最新版本的标准；</w:t>
      </w:r>
    </w:p>
    <w:p w14:paraId="102672F4">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5</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须为验收提供必需的设备、工具及其他便利条件；</w:t>
      </w:r>
    </w:p>
    <w:p w14:paraId="53748E5D">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64" w:firstLineChars="200"/>
        <w:rPr>
          <w:rFonts w:hint="eastAsia" w:asciiTheme="minorEastAsia" w:hAnsiTheme="minorEastAsia" w:eastAsiaTheme="minorEastAsia" w:cstheme="minorEastAsia"/>
          <w:color w:val="auto"/>
          <w:spacing w:val="-4"/>
          <w:sz w:val="24"/>
          <w:highlight w:val="none"/>
        </w:rPr>
      </w:pPr>
      <w:r>
        <w:rPr>
          <w:rFonts w:hint="eastAsia" w:asciiTheme="minorEastAsia" w:hAnsiTheme="minorEastAsia" w:eastAsiaTheme="minorEastAsia" w:cstheme="minorEastAsia"/>
          <w:color w:val="auto"/>
          <w:spacing w:val="-4"/>
          <w:sz w:val="24"/>
          <w:highlight w:val="none"/>
          <w:lang w:eastAsia="zh-CN"/>
        </w:rPr>
        <w:t>（</w:t>
      </w:r>
      <w:r>
        <w:rPr>
          <w:rFonts w:hint="eastAsia" w:asciiTheme="minorEastAsia" w:hAnsiTheme="minorEastAsia" w:eastAsiaTheme="minorEastAsia" w:cstheme="minorEastAsia"/>
          <w:color w:val="auto"/>
          <w:spacing w:val="-4"/>
          <w:sz w:val="24"/>
          <w:highlight w:val="none"/>
          <w:lang w:val="en-US" w:eastAsia="zh-CN"/>
        </w:rPr>
        <w:t>6</w:t>
      </w:r>
      <w:r>
        <w:rPr>
          <w:rFonts w:hint="eastAsia" w:asciiTheme="minorEastAsia" w:hAnsiTheme="minorEastAsia" w:eastAsiaTheme="minorEastAsia" w:cstheme="minorEastAsia"/>
          <w:color w:val="auto"/>
          <w:spacing w:val="-4"/>
          <w:sz w:val="24"/>
          <w:highlight w:val="none"/>
          <w:lang w:eastAsia="zh-CN"/>
        </w:rPr>
        <w:t>）</w:t>
      </w:r>
      <w:r>
        <w:rPr>
          <w:rFonts w:hint="eastAsia" w:asciiTheme="minorEastAsia" w:hAnsiTheme="minorEastAsia" w:eastAsiaTheme="minorEastAsia" w:cstheme="minorEastAsia"/>
          <w:color w:val="auto"/>
          <w:spacing w:val="-4"/>
          <w:sz w:val="24"/>
          <w:highlight w:val="none"/>
        </w:rPr>
        <w:t>在验收过程中发现数量不足或有质量、技术等问题，</w:t>
      </w:r>
      <w:r>
        <w:rPr>
          <w:rFonts w:hint="eastAsia" w:asciiTheme="minorEastAsia" w:hAnsiTheme="minorEastAsia" w:eastAsiaTheme="minorEastAsia" w:cstheme="minorEastAsia"/>
          <w:color w:val="auto"/>
          <w:spacing w:val="-4"/>
          <w:sz w:val="24"/>
          <w:highlight w:val="none"/>
          <w:lang w:eastAsia="zh-CN"/>
        </w:rPr>
        <w:t>投标人</w:t>
      </w:r>
      <w:r>
        <w:rPr>
          <w:rFonts w:hint="eastAsia" w:asciiTheme="minorEastAsia" w:hAnsiTheme="minorEastAsia" w:eastAsiaTheme="minorEastAsia" w:cstheme="minorEastAsia"/>
          <w:color w:val="auto"/>
          <w:spacing w:val="-4"/>
          <w:sz w:val="24"/>
          <w:highlight w:val="none"/>
        </w:rPr>
        <w:t>应负责按照采购人的要求采取补足、更换或退货等措施妥善处理，并承担由此发生的一切费用和损失；</w:t>
      </w:r>
    </w:p>
    <w:p w14:paraId="4F444274">
      <w:pPr>
        <w:keepNext w:val="0"/>
        <w:keepLines w:val="0"/>
        <w:pageBreakBefore w:val="0"/>
        <w:wordWrap/>
        <w:overflowPunct/>
        <w:topLinePunct w:val="0"/>
        <w:autoSpaceDE w:val="0"/>
        <w:autoSpaceDN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lang w:val="en-US" w:eastAsia="zh-CN"/>
        </w:rPr>
        <w:t>7</w:t>
      </w:r>
      <w:r>
        <w:rPr>
          <w:rFonts w:hint="eastAsia" w:asciiTheme="minorEastAsia" w:hAnsiTheme="minorEastAsia" w:eastAsiaTheme="minorEastAsia" w:cstheme="minorEastAsia"/>
          <w:color w:val="auto"/>
          <w:sz w:val="24"/>
          <w:highlight w:val="none"/>
          <w:lang w:eastAsia="zh-CN"/>
        </w:rPr>
        <w:t>）</w:t>
      </w:r>
      <w:r>
        <w:rPr>
          <w:rFonts w:hint="eastAsia" w:asciiTheme="minorEastAsia" w:hAnsiTheme="minorEastAsia" w:eastAsiaTheme="minorEastAsia" w:cstheme="minorEastAsia"/>
          <w:color w:val="auto"/>
          <w:sz w:val="24"/>
          <w:highlight w:val="none"/>
        </w:rPr>
        <w:t>对于不合格的货物，</w:t>
      </w:r>
      <w:r>
        <w:rPr>
          <w:rFonts w:hint="eastAsia" w:asciiTheme="minorEastAsia" w:hAnsiTheme="minorEastAsia" w:eastAsiaTheme="minorEastAsia" w:cstheme="minorEastAsia"/>
          <w:color w:val="auto"/>
          <w:sz w:val="24"/>
          <w:highlight w:val="none"/>
          <w:lang w:eastAsia="zh-CN"/>
        </w:rPr>
        <w:t>投标人</w:t>
      </w:r>
      <w:r>
        <w:rPr>
          <w:rFonts w:hint="eastAsia" w:asciiTheme="minorEastAsia" w:hAnsiTheme="minorEastAsia" w:eastAsiaTheme="minorEastAsia" w:cstheme="minorEastAsia"/>
          <w:color w:val="auto"/>
          <w:sz w:val="24"/>
          <w:highlight w:val="none"/>
        </w:rPr>
        <w:t>必须在7个工作日里及时完成更换并重新对更换货物进行验收。</w:t>
      </w:r>
    </w:p>
    <w:p w14:paraId="7FBF566A">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bCs/>
          <w:color w:val="auto"/>
          <w:kern w:val="0"/>
          <w:sz w:val="24"/>
          <w:szCs w:val="24"/>
          <w:highlight w:val="none"/>
          <w:vertAlign w:val="baseline"/>
          <w:lang w:val="zh-CN" w:eastAsia="zh-CN" w:bidi="ar"/>
        </w:rPr>
      </w:pPr>
      <w:r>
        <w:rPr>
          <w:rFonts w:hint="eastAsia" w:asciiTheme="minorEastAsia" w:hAnsiTheme="minorEastAsia" w:eastAsiaTheme="minorEastAsia" w:cstheme="minorEastAsia"/>
          <w:b/>
          <w:bCs/>
          <w:color w:val="auto"/>
          <w:kern w:val="0"/>
          <w:sz w:val="24"/>
          <w:szCs w:val="24"/>
          <w:highlight w:val="none"/>
          <w:vertAlign w:val="baseline"/>
          <w:lang w:val="en-US" w:eastAsia="zh-CN" w:bidi="ar"/>
        </w:rPr>
        <w:t>8、</w:t>
      </w: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其它要求</w:t>
      </w:r>
    </w:p>
    <w:p w14:paraId="780B6C00">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（1）</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成交投标人应保证采购人在使用成交投标人所提供的服务时，免受第三方提出的侵犯其专利权、商标权的起诉；如果任何第三方提出侵权指控，成交投标人承担一切与之有关的责任。</w:t>
      </w:r>
    </w:p>
    <w:p w14:paraId="388D5716">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（2）</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成交投标人在服务期内存在以下情况，采购人有权终止服务并更换投标人，且不再对其进行业务委托：</w:t>
      </w:r>
    </w:p>
    <w:p w14:paraId="25A05737">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①在响应中有故意隐瞒与响应文件中不符的重大事实的。</w:t>
      </w:r>
    </w:p>
    <w:p w14:paraId="79DECE2F">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②未经批准将所中标业务再转包或分包给其它供应商的。</w:t>
      </w:r>
    </w:p>
    <w:p w14:paraId="28809820">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③在为本项目服务工作中与企业串通、违反职业道德的。</w:t>
      </w:r>
    </w:p>
    <w:p w14:paraId="44EAD6FE">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④未能保证服务质量的。</w:t>
      </w:r>
    </w:p>
    <w:p w14:paraId="74D3BD58">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⑤严重违反保密承诺的。</w:t>
      </w:r>
    </w:p>
    <w:p w14:paraId="2991ACB9">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（3）</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投标人应该认真咨询、实地勘察，了解标的现状，并仔细阅读本次采购所提供的相关资料及特别规定。投标人参加投标，即表明投标人对标的的情况和特别规定的认可，投标成功后不得以未咨询或对标的不了解而提出异议或反悔。</w:t>
      </w:r>
    </w:p>
    <w:p w14:paraId="79B6E868">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4</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投标人应保证其提供的服务不违反关法律、行政法规的规定。</w:t>
      </w:r>
    </w:p>
    <w:p w14:paraId="710BF311">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5</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成交投标人在履行合同期间，应对成交投标人（或其雇佣人员）的疏忽、故意或过失而造成采购人的直接或间接损失、第三者的财产损失及安全责任事故等负责，并承担相应费用。</w:t>
      </w:r>
    </w:p>
    <w:p w14:paraId="1F5505C6">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6</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本项目采购服务、设备对应的固定资产和无形资产，产权及所有权均属采购人。</w:t>
      </w:r>
    </w:p>
    <w:p w14:paraId="4B4C974E">
      <w:pPr>
        <w:keepNext w:val="0"/>
        <w:keepLines w:val="0"/>
        <w:pageBreakBefore w:val="0"/>
        <w:numPr>
          <w:ilvl w:val="0"/>
          <w:numId w:val="0"/>
        </w:numPr>
        <w:tabs>
          <w:tab w:val="left" w:pos="1819"/>
        </w:tabs>
        <w:wordWrap/>
        <w:overflowPunct/>
        <w:topLinePunct w:val="0"/>
        <w:bidi w:val="0"/>
        <w:adjustRightInd w:val="0"/>
        <w:snapToGrid w:val="0"/>
        <w:spacing w:beforeAutospacing="0" w:line="360" w:lineRule="auto"/>
        <w:ind w:left="0" w:leftChars="0" w:right="0" w:rightChars="0" w:firstLine="480" w:firstLineChars="200"/>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pP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w:t>
      </w:r>
      <w:r>
        <w:rPr>
          <w:rFonts w:hint="eastAsia" w:asciiTheme="minorEastAsia" w:hAnsiTheme="minorEastAsia" w:eastAsiaTheme="minorEastAsia" w:cstheme="minorEastAsia"/>
          <w:b w:val="0"/>
          <w:bCs w:val="0"/>
          <w:color w:val="auto"/>
          <w:kern w:val="0"/>
          <w:sz w:val="24"/>
          <w:szCs w:val="24"/>
          <w:highlight w:val="none"/>
          <w:vertAlign w:val="baseline"/>
          <w:lang w:val="en-US" w:eastAsia="zh-CN" w:bidi="ar"/>
        </w:rPr>
        <w:t>7</w:t>
      </w:r>
      <w:r>
        <w:rPr>
          <w:rFonts w:hint="eastAsia" w:asciiTheme="minorEastAsia" w:hAnsiTheme="minorEastAsia" w:eastAsiaTheme="minorEastAsia" w:cstheme="minorEastAsia"/>
          <w:b w:val="0"/>
          <w:bCs w:val="0"/>
          <w:color w:val="auto"/>
          <w:kern w:val="0"/>
          <w:sz w:val="24"/>
          <w:szCs w:val="24"/>
          <w:highlight w:val="none"/>
          <w:vertAlign w:val="baseline"/>
          <w:lang w:val="zh-CN" w:eastAsia="zh-CN" w:bidi="ar"/>
        </w:rPr>
        <w:t>）其他未尽事宜可在合同中约定</w:t>
      </w:r>
    </w:p>
    <w:p w14:paraId="03AA518A">
      <w:pPr>
        <w:keepNext w:val="0"/>
        <w:keepLines w:val="0"/>
        <w:pageBreakBefore w:val="0"/>
        <w:widowControl w:val="0"/>
        <w:kinsoku w:val="0"/>
        <w:wordWrap/>
        <w:overflowPunct/>
        <w:topLinePunct w:val="0"/>
        <w:autoSpaceDE w:val="0"/>
        <w:autoSpaceDN w:val="0"/>
        <w:bidi w:val="0"/>
        <w:adjustRightInd w:val="0"/>
        <w:snapToGrid w:val="0"/>
        <w:spacing w:line="360" w:lineRule="auto"/>
        <w:ind w:left="0" w:leftChars="0" w:firstLine="482" w:firstLineChars="200"/>
        <w:jc w:val="both"/>
        <w:textAlignment w:val="baseline"/>
        <w:rPr>
          <w:rFonts w:hint="eastAsia" w:ascii="宋体" w:hAnsi="宋体" w:eastAsia="宋体" w:cs="宋体"/>
          <w:snapToGrid w:val="0"/>
          <w:color w:val="auto"/>
          <w:spacing w:val="0"/>
          <w:w w:val="100"/>
          <w:position w:val="0"/>
          <w:sz w:val="31"/>
          <w:szCs w:val="31"/>
          <w:highlight w:val="none"/>
          <w:lang w:val="en-US" w:eastAsia="zh-CN" w:bidi="ar-SA"/>
          <w14:textOutline w14:w="5791" w14:cap="sq" w14:cmpd="sng" w14:algn="ctr">
            <w14:solidFill>
              <w14:srgbClr w14:val="000000"/>
            </w14:solidFill>
            <w14:prstDash w14:val="solid"/>
            <w14:bevel/>
          </w14:textOutline>
        </w:rPr>
      </w:pPr>
      <w:r>
        <w:rPr>
          <w:rFonts w:hint="eastAsia" w:asciiTheme="minorEastAsia" w:hAnsiTheme="minorEastAsia" w:eastAsiaTheme="minorEastAsia" w:cstheme="minorEastAsia"/>
          <w:b/>
          <w:bCs/>
          <w:color w:val="auto"/>
          <w:kern w:val="0"/>
          <w:sz w:val="24"/>
          <w:szCs w:val="24"/>
          <w:highlight w:val="none"/>
          <w:vertAlign w:val="baseline"/>
          <w:lang w:val="zh-CN" w:eastAsia="zh-CN" w:bidi="ar"/>
        </w:rPr>
        <w:t>注：以上项目清单及技术要求、商务条款为必须满足项，否则作无效响应处理。</w:t>
      </w:r>
    </w:p>
    <w:p w14:paraId="042DE483">
      <w:pPr>
        <w:keepNext w:val="0"/>
        <w:keepLines w:val="0"/>
        <w:pageBreakBefore w:val="0"/>
        <w:widowControl w:val="0"/>
        <w:numPr>
          <w:ilvl w:val="0"/>
          <w:numId w:val="0"/>
        </w:numPr>
        <w:wordWrap/>
        <w:overflowPunct/>
        <w:topLinePunct w:val="0"/>
        <w:bidi w:val="0"/>
        <w:spacing w:beforeAutospacing="0" w:line="360" w:lineRule="auto"/>
        <w:outlineLvl w:val="0"/>
        <w:rPr>
          <w:rFonts w:hint="eastAsia" w:ascii="宋体" w:hAnsi="宋体" w:eastAsia="宋体" w:cs="宋体"/>
          <w:snapToGrid w:val="0"/>
          <w:color w:val="auto"/>
          <w:spacing w:val="0"/>
          <w:w w:val="100"/>
          <w:position w:val="0"/>
          <w:sz w:val="31"/>
          <w:szCs w:val="31"/>
          <w:highlight w:val="none"/>
          <w:lang w:val="en-US" w:eastAsia="zh-CN" w:bidi="ar-SA"/>
          <w14:textOutline w14:w="5791" w14:cap="sq" w14:cmpd="sng" w14:algn="ctr">
            <w14:solidFill>
              <w14:srgbClr w14:val="000000"/>
            </w14:solidFill>
            <w14:prstDash w14:val="solid"/>
            <w14:bevel/>
          </w14:textOutline>
        </w:rPr>
      </w:pPr>
    </w:p>
    <w:p w14:paraId="584AE284">
      <w:pPr>
        <w:keepNext w:val="0"/>
        <w:keepLines w:val="0"/>
        <w:pageBreakBefore w:val="0"/>
        <w:widowControl w:val="0"/>
        <w:numPr>
          <w:ilvl w:val="0"/>
          <w:numId w:val="0"/>
        </w:numPr>
        <w:wordWrap/>
        <w:overflowPunct/>
        <w:topLinePunct w:val="0"/>
        <w:bidi w:val="0"/>
        <w:spacing w:beforeAutospacing="0" w:line="360" w:lineRule="auto"/>
        <w:outlineLvl w:val="0"/>
        <w:rPr>
          <w:rFonts w:hint="eastAsia" w:ascii="宋体" w:hAnsi="宋体" w:eastAsia="宋体" w:cs="宋体"/>
          <w:snapToGrid w:val="0"/>
          <w:color w:val="auto"/>
          <w:spacing w:val="0"/>
          <w:w w:val="100"/>
          <w:position w:val="0"/>
          <w:sz w:val="31"/>
          <w:szCs w:val="31"/>
          <w:highlight w:val="none"/>
          <w:lang w:val="en-US" w:eastAsia="zh-CN" w:bidi="ar-SA"/>
          <w14:textOutline w14:w="5791" w14:cap="sq" w14:cmpd="sng" w14:algn="ctr">
            <w14:solidFill>
              <w14:srgbClr w14:val="000000"/>
            </w14:solidFill>
            <w14:prstDash w14:val="solid"/>
            <w14:bevel/>
          </w14:textOutline>
        </w:rPr>
        <w:sectPr>
          <w:headerReference r:id="rId3" w:type="default"/>
          <w:footerReference r:id="rId4" w:type="default"/>
          <w:pgSz w:w="11906" w:h="16839"/>
          <w:pgMar w:top="1134" w:right="1134" w:bottom="1134" w:left="1134" w:header="0" w:footer="994" w:gutter="0"/>
          <w:pgNumType w:fmt="decimal"/>
          <w:cols w:space="720" w:num="1"/>
        </w:sectPr>
      </w:pPr>
    </w:p>
    <w:p w14:paraId="70F7EAC9">
      <w:pPr>
        <w:keepNext w:val="0"/>
        <w:keepLines w:val="0"/>
        <w:pageBreakBefore w:val="0"/>
        <w:widowControl w:val="0"/>
        <w:numPr>
          <w:ilvl w:val="0"/>
          <w:numId w:val="0"/>
        </w:numPr>
        <w:wordWrap/>
        <w:overflowPunct/>
        <w:topLinePunct w:val="0"/>
        <w:bidi w:val="0"/>
        <w:spacing w:line="360" w:lineRule="auto"/>
        <w:jc w:val="center"/>
        <w:outlineLvl w:val="0"/>
        <w:rPr>
          <w:rFonts w:hint="eastAsia" w:ascii="宋体" w:hAnsi="宋体" w:eastAsia="宋体" w:cs="宋体"/>
          <w:snapToGrid w:val="0"/>
          <w:color w:val="auto"/>
          <w:spacing w:val="0"/>
          <w:w w:val="100"/>
          <w:position w:val="0"/>
          <w:sz w:val="31"/>
          <w:szCs w:val="31"/>
          <w:highlight w:val="none"/>
          <w:lang w:val="en-US" w:eastAsia="zh-CN" w:bidi="ar-SA"/>
          <w14:textOutline w14:w="5791" w14:cap="sq" w14:cmpd="sng" w14:algn="ctr">
            <w14:solidFill>
              <w14:srgbClr w14:val="000000"/>
            </w14:solidFill>
            <w14:prstDash w14:val="solid"/>
            <w14:bevel/>
          </w14:textOutline>
        </w:rPr>
      </w:pPr>
      <w:bookmarkStart w:id="0" w:name="_Toc19696"/>
      <w:r>
        <w:rPr>
          <w:rFonts w:hint="eastAsia" w:ascii="宋体" w:hAnsi="宋体" w:eastAsia="宋体" w:cs="宋体"/>
          <w:snapToGrid w:val="0"/>
          <w:color w:val="auto"/>
          <w:spacing w:val="0"/>
          <w:w w:val="100"/>
          <w:position w:val="0"/>
          <w:sz w:val="31"/>
          <w:szCs w:val="31"/>
          <w:highlight w:val="none"/>
          <w:lang w:val="en-US" w:eastAsia="zh-CN" w:bidi="ar-SA"/>
          <w14:textOutline w14:w="5791" w14:cap="sq" w14:cmpd="sng" w14:algn="ctr">
            <w14:solidFill>
              <w14:srgbClr w14:val="000000"/>
            </w14:solidFill>
            <w14:prstDash w14:val="solid"/>
            <w14:bevel/>
          </w14:textOutline>
        </w:rPr>
        <w:t xml:space="preserve">第六章 </w:t>
      </w:r>
      <w:bookmarkStart w:id="1" w:name="_Toc26056"/>
      <w:r>
        <w:rPr>
          <w:rFonts w:hint="eastAsia" w:ascii="宋体" w:hAnsi="宋体" w:eastAsia="宋体" w:cs="宋体"/>
          <w:snapToGrid w:val="0"/>
          <w:color w:val="auto"/>
          <w:spacing w:val="0"/>
          <w:w w:val="100"/>
          <w:position w:val="0"/>
          <w:sz w:val="31"/>
          <w:szCs w:val="31"/>
          <w:highlight w:val="none"/>
          <w:lang w:val="en-US" w:eastAsia="zh-CN" w:bidi="ar-SA"/>
          <w14:textOutline w14:w="5791" w14:cap="sq" w14:cmpd="sng" w14:algn="ctr">
            <w14:solidFill>
              <w14:srgbClr w14:val="000000"/>
            </w14:solidFill>
            <w14:prstDash w14:val="solid"/>
            <w14:bevel/>
          </w14:textOutline>
        </w:rPr>
        <w:t xml:space="preserve"> 评标方法</w:t>
      </w:r>
      <w:bookmarkEnd w:id="0"/>
      <w:bookmarkEnd w:id="1"/>
    </w:p>
    <w:p w14:paraId="0A7CC50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beforeAutospacing="0" w:line="360" w:lineRule="auto"/>
        <w:textAlignment w:val="baseline"/>
        <w:outlineLvl w:val="1"/>
        <w:rPr>
          <w:rFonts w:hint="eastAsia" w:ascii="宋体" w:hAnsi="宋体" w:eastAsia="宋体" w:cs="Times New Roman"/>
          <w:b/>
          <w:bCs/>
          <w:color w:val="auto"/>
          <w:spacing w:val="0"/>
          <w:w w:val="100"/>
          <w:position w:val="0"/>
          <w:sz w:val="28"/>
          <w:szCs w:val="28"/>
          <w:highlight w:val="none"/>
          <w:lang w:val="en-US" w:eastAsia="zh-CN"/>
        </w:rPr>
      </w:pPr>
      <w:bookmarkStart w:id="2" w:name="_Toc340"/>
      <w:bookmarkStart w:id="3" w:name="_Toc8134"/>
      <w:bookmarkStart w:id="4" w:name="_Toc29344"/>
      <w:bookmarkStart w:id="5" w:name="_Toc9080"/>
      <w:r>
        <w:rPr>
          <w:rFonts w:hint="eastAsia" w:ascii="宋体" w:hAnsi="宋体" w:eastAsia="宋体" w:cs="Times New Roman"/>
          <w:b/>
          <w:bCs/>
          <w:color w:val="auto"/>
          <w:spacing w:val="0"/>
          <w:w w:val="100"/>
          <w:position w:val="0"/>
          <w:sz w:val="28"/>
          <w:szCs w:val="28"/>
          <w:highlight w:val="none"/>
          <w:lang w:val="en-US" w:eastAsia="zh-CN"/>
        </w:rPr>
        <w:t>评分标准</w:t>
      </w:r>
      <w:bookmarkEnd w:id="2"/>
      <w:bookmarkEnd w:id="3"/>
      <w:bookmarkEnd w:id="4"/>
      <w:bookmarkEnd w:id="5"/>
    </w:p>
    <w:p w14:paraId="579CE8D3">
      <w:pPr>
        <w:pStyle w:val="9"/>
        <w:keepNext w:val="0"/>
        <w:keepLines w:val="0"/>
        <w:pageBreakBefore w:val="0"/>
        <w:shd w:val="clear" w:color="auto" w:fill="auto"/>
        <w:overflowPunct/>
        <w:topLinePunct w:val="0"/>
        <w:bidi w:val="0"/>
        <w:snapToGrid w:val="0"/>
        <w:spacing w:line="360" w:lineRule="auto"/>
        <w:jc w:val="left"/>
        <w:outlineLvl w:val="9"/>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评分方法:</w:t>
      </w:r>
      <w:r>
        <w:rPr>
          <w:rFonts w:hint="eastAsia" w:ascii="宋体" w:hAnsi="宋体" w:eastAsia="宋体" w:cs="宋体"/>
          <w:color w:val="auto"/>
          <w:sz w:val="24"/>
          <w:highlight w:val="none"/>
        </w:rPr>
        <w:t>综合评分法（总分</w:t>
      </w:r>
      <w:r>
        <w:rPr>
          <w:rFonts w:hint="eastAsia" w:hAnsi="宋体" w:cs="宋体"/>
          <w:color w:val="auto"/>
          <w:sz w:val="24"/>
          <w:highlight w:val="none"/>
          <w:lang w:val="en-US" w:eastAsia="zh-CN"/>
        </w:rPr>
        <w:t>50</w:t>
      </w:r>
      <w:r>
        <w:rPr>
          <w:rFonts w:hint="eastAsia" w:ascii="宋体" w:hAnsi="宋体" w:eastAsia="宋体" w:cs="宋体"/>
          <w:color w:val="auto"/>
          <w:sz w:val="24"/>
          <w:highlight w:val="none"/>
        </w:rPr>
        <w:t>分），评分细则（计分办法保留两位小数，四舍五入）</w:t>
      </w:r>
    </w:p>
    <w:p w14:paraId="6E5E5AFC">
      <w:pPr>
        <w:pStyle w:val="29"/>
        <w:keepNext w:val="0"/>
        <w:keepLines w:val="0"/>
        <w:pageBreakBefore w:val="0"/>
        <w:overflowPunct/>
        <w:topLinePunct w:val="0"/>
        <w:bidi w:val="0"/>
        <w:adjustRightInd w:val="0"/>
        <w:snapToGrid w:val="0"/>
        <w:spacing w:line="360" w:lineRule="auto"/>
        <w:outlineLvl w:val="9"/>
        <w:rPr>
          <w:rFonts w:hint="eastAsia" w:ascii="宋体" w:hAnsi="宋体" w:eastAsia="宋体" w:cs="宋体"/>
          <w:color w:val="auto"/>
          <w:spacing w:val="6"/>
          <w:sz w:val="24"/>
          <w:highlight w:val="none"/>
          <w:lang w:eastAsia="zh-CN"/>
        </w:rPr>
      </w:pPr>
      <w:r>
        <w:rPr>
          <w:rFonts w:hint="eastAsia" w:ascii="宋体" w:hAnsi="宋体" w:eastAsia="宋体" w:cs="宋体"/>
          <w:color w:val="auto"/>
          <w:spacing w:val="6"/>
          <w:sz w:val="24"/>
          <w:highlight w:val="none"/>
        </w:rPr>
        <w:t>计分细则</w:t>
      </w:r>
      <w:r>
        <w:rPr>
          <w:rFonts w:hint="eastAsia" w:ascii="宋体" w:hAnsi="宋体" w:eastAsia="宋体" w:cs="宋体"/>
          <w:color w:val="auto"/>
          <w:spacing w:val="6"/>
          <w:sz w:val="24"/>
          <w:highlight w:val="none"/>
          <w:lang w:eastAsia="zh-CN"/>
        </w:rPr>
        <w:t>：</w:t>
      </w:r>
    </w:p>
    <w:p w14:paraId="3FB3E731">
      <w:pPr>
        <w:keepNext w:val="0"/>
        <w:keepLines w:val="0"/>
        <w:pageBreakBefore w:val="0"/>
        <w:numPr>
          <w:ilvl w:val="0"/>
          <w:numId w:val="0"/>
        </w:numPr>
        <w:shd w:val="clear" w:color="auto" w:fill="auto"/>
        <w:overflowPunct/>
        <w:topLinePunct w:val="0"/>
        <w:bidi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评标委员会应当按照招标文件中规定的评标方法和标准，对符合性审查合格的投标文件进行商务和技术评估，综合比较与评价。</w:t>
      </w:r>
    </w:p>
    <w:tbl>
      <w:tblPr>
        <w:tblStyle w:val="18"/>
        <w:tblW w:w="9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7636"/>
        <w:gridCol w:w="930"/>
      </w:tblGrid>
      <w:tr w14:paraId="0ABE5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757E2260">
            <w:pPr>
              <w:keepNext w:val="0"/>
              <w:keepLines w:val="0"/>
              <w:pageBreakBefore w:val="0"/>
              <w:widowControl w:val="0"/>
              <w:wordWrap/>
              <w:overflowPunct/>
              <w:topLinePunct w:val="0"/>
              <w:bidi w:val="0"/>
              <w:spacing w:line="360" w:lineRule="auto"/>
              <w:jc w:val="center"/>
              <w:rPr>
                <w:rFonts w:hint="eastAsia" w:ascii="宋体" w:hAnsi="宋体" w:eastAsia="宋体" w:cs="宋体"/>
                <w:b/>
                <w:color w:val="auto"/>
                <w:spacing w:val="0"/>
                <w:w w:val="100"/>
                <w:kern w:val="0"/>
                <w:position w:val="0"/>
                <w:sz w:val="24"/>
                <w:szCs w:val="24"/>
                <w:highlight w:val="none"/>
                <w:lang w:eastAsia="zh-CN"/>
              </w:rPr>
            </w:pPr>
            <w:r>
              <w:rPr>
                <w:rFonts w:hint="eastAsia" w:ascii="宋体" w:hAnsi="宋体" w:cs="宋体"/>
                <w:b/>
                <w:color w:val="auto"/>
                <w:spacing w:val="0"/>
                <w:w w:val="100"/>
                <w:kern w:val="0"/>
                <w:position w:val="0"/>
                <w:sz w:val="24"/>
                <w:szCs w:val="24"/>
                <w:highlight w:val="none"/>
              </w:rPr>
              <w:t>（一）价格部分（</w:t>
            </w:r>
            <w:r>
              <w:rPr>
                <w:rFonts w:hint="eastAsia" w:ascii="宋体" w:hAnsi="宋体" w:eastAsia="宋体" w:cs="宋体"/>
                <w:b/>
                <w:color w:val="auto"/>
                <w:spacing w:val="0"/>
                <w:w w:val="100"/>
                <w:kern w:val="0"/>
                <w:position w:val="0"/>
                <w:sz w:val="24"/>
                <w:szCs w:val="24"/>
                <w:highlight w:val="none"/>
                <w:lang w:val="en-US" w:eastAsia="zh-CN"/>
              </w:rPr>
              <w:t>15</w:t>
            </w:r>
            <w:r>
              <w:rPr>
                <w:rFonts w:hint="eastAsia" w:ascii="宋体" w:hAnsi="宋体" w:cs="宋体"/>
                <w:b/>
                <w:color w:val="auto"/>
                <w:spacing w:val="0"/>
                <w:w w:val="100"/>
                <w:position w:val="0"/>
                <w:sz w:val="24"/>
                <w:szCs w:val="24"/>
                <w:highlight w:val="none"/>
              </w:rPr>
              <w:t>分</w:t>
            </w:r>
            <w:r>
              <w:rPr>
                <w:rFonts w:hint="eastAsia" w:ascii="宋体" w:hAnsi="宋体" w:cs="宋体"/>
                <w:b/>
                <w:color w:val="auto"/>
                <w:spacing w:val="0"/>
                <w:w w:val="100"/>
                <w:kern w:val="0"/>
                <w:position w:val="0"/>
                <w:sz w:val="24"/>
                <w:szCs w:val="24"/>
                <w:highlight w:val="none"/>
              </w:rPr>
              <w:t>）</w:t>
            </w:r>
          </w:p>
        </w:tc>
      </w:tr>
      <w:tr w14:paraId="21B31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6CDE5CFE">
            <w:pPr>
              <w:keepNext w:val="0"/>
              <w:keepLines w:val="0"/>
              <w:pageBreakBefore w:val="0"/>
              <w:widowControl w:val="0"/>
              <w:wordWrap/>
              <w:overflowPunct/>
              <w:topLinePunct w:val="0"/>
              <w:bidi w:val="0"/>
              <w:spacing w:line="360" w:lineRule="auto"/>
              <w:jc w:val="center"/>
              <w:rPr>
                <w:rFonts w:hint="eastAsia" w:ascii="宋体" w:hAnsi="宋体" w:cs="宋体"/>
                <w:bCs/>
                <w:color w:val="auto"/>
                <w:spacing w:val="0"/>
                <w:w w:val="100"/>
                <w:kern w:val="0"/>
                <w:position w:val="0"/>
                <w:sz w:val="24"/>
                <w:szCs w:val="24"/>
                <w:highlight w:val="none"/>
              </w:rPr>
            </w:pPr>
            <w:r>
              <w:rPr>
                <w:rFonts w:ascii="宋体" w:hAnsi="宋体" w:cs="宋体"/>
                <w:b/>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55487117">
            <w:pPr>
              <w:keepNext w:val="0"/>
              <w:keepLines w:val="0"/>
              <w:pageBreakBefore w:val="0"/>
              <w:widowControl w:val="0"/>
              <w:wordWrap/>
              <w:overflowPunct/>
              <w:topLinePunct w:val="0"/>
              <w:bidi w:val="0"/>
              <w:spacing w:line="360" w:lineRule="auto"/>
              <w:ind w:firstLine="361" w:firstLineChars="150"/>
              <w:jc w:val="center"/>
              <w:rPr>
                <w:rFonts w:hint="eastAsia"/>
                <w:b/>
                <w:bCs/>
                <w:color w:val="auto"/>
                <w:spacing w:val="0"/>
                <w:w w:val="100"/>
                <w:position w:val="0"/>
                <w:sz w:val="24"/>
                <w:szCs w:val="24"/>
                <w:highlight w:val="none"/>
              </w:rPr>
            </w:pPr>
            <w:r>
              <w:rPr>
                <w:rFonts w:ascii="宋体" w:hAnsi="宋体" w:cs="宋体"/>
                <w:b/>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4F9450A5">
            <w:pPr>
              <w:keepNext w:val="0"/>
              <w:keepLines w:val="0"/>
              <w:pageBreakBefore w:val="0"/>
              <w:widowControl w:val="0"/>
              <w:wordWrap/>
              <w:overflowPunct/>
              <w:topLinePunct w:val="0"/>
              <w:bidi w:val="0"/>
              <w:spacing w:line="360" w:lineRule="auto"/>
              <w:jc w:val="center"/>
              <w:rPr>
                <w:rFonts w:ascii="宋体" w:hAnsi="宋体" w:cs="宋体"/>
                <w:bCs/>
                <w:color w:val="auto"/>
                <w:spacing w:val="0"/>
                <w:w w:val="100"/>
                <w:kern w:val="0"/>
                <w:position w:val="0"/>
                <w:sz w:val="24"/>
                <w:szCs w:val="24"/>
                <w:highlight w:val="none"/>
              </w:rPr>
            </w:pPr>
            <w:r>
              <w:rPr>
                <w:rFonts w:ascii="宋体" w:hAnsi="宋体" w:cs="宋体"/>
                <w:b/>
                <w:color w:val="auto"/>
                <w:spacing w:val="0"/>
                <w:w w:val="100"/>
                <w:kern w:val="0"/>
                <w:position w:val="0"/>
                <w:sz w:val="24"/>
                <w:szCs w:val="24"/>
                <w:highlight w:val="none"/>
              </w:rPr>
              <w:t>分值</w:t>
            </w:r>
          </w:p>
        </w:tc>
      </w:tr>
      <w:tr w14:paraId="1465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5095152F">
            <w:pPr>
              <w:keepNext w:val="0"/>
              <w:keepLines w:val="0"/>
              <w:pageBreakBefore w:val="0"/>
              <w:widowControl w:val="0"/>
              <w:wordWrap/>
              <w:overflowPunct/>
              <w:topLinePunct w:val="0"/>
              <w:bidi w:val="0"/>
              <w:spacing w:line="360" w:lineRule="auto"/>
              <w:jc w:val="center"/>
              <w:rPr>
                <w:rFonts w:hint="eastAsia" w:ascii="宋体" w:hAnsi="宋体" w:eastAsia="宋体" w:cs="宋体"/>
                <w:bCs/>
                <w:color w:val="auto"/>
                <w:spacing w:val="0"/>
                <w:w w:val="100"/>
                <w:kern w:val="0"/>
                <w:position w:val="0"/>
                <w:sz w:val="24"/>
                <w:szCs w:val="24"/>
                <w:highlight w:val="none"/>
                <w:lang w:val="en-US" w:eastAsia="zh-CN"/>
              </w:rPr>
            </w:pPr>
            <w:r>
              <w:rPr>
                <w:rFonts w:hint="eastAsia" w:ascii="宋体" w:hAnsi="宋体" w:eastAsia="宋体" w:cs="宋体"/>
                <w:b/>
                <w:bCs w:val="0"/>
                <w:color w:val="auto"/>
                <w:spacing w:val="0"/>
                <w:w w:val="100"/>
                <w:kern w:val="0"/>
                <w:position w:val="0"/>
                <w:sz w:val="24"/>
                <w:szCs w:val="24"/>
                <w:highlight w:val="none"/>
                <w:lang w:val="en-US" w:eastAsia="zh-CN"/>
              </w:rPr>
              <w:t>价格分</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21C8D36B">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480" w:firstLineChars="200"/>
              <w:jc w:val="left"/>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lang w:eastAsia="zh-CN"/>
              </w:rPr>
              <w:t>价格分采用低价优先法计算，即满足招标文件要求且投标价格最低的投标报价为评</w:t>
            </w:r>
            <w:r>
              <w:rPr>
                <w:rFonts w:hint="eastAsia" w:ascii="宋体" w:hAnsi="宋体" w:eastAsia="宋体" w:cs="宋体"/>
                <w:b w:val="0"/>
                <w:bCs w:val="0"/>
                <w:snapToGrid/>
                <w:color w:val="auto"/>
                <w:kern w:val="2"/>
                <w:sz w:val="24"/>
                <w:szCs w:val="24"/>
                <w:highlight w:val="none"/>
                <w:lang w:eastAsia="zh-CN"/>
              </w:rPr>
              <w:t>标</w:t>
            </w:r>
            <w:r>
              <w:rPr>
                <w:rFonts w:hint="eastAsia" w:asciiTheme="minorEastAsia" w:hAnsiTheme="minorEastAsia" w:eastAsiaTheme="minorEastAsia" w:cstheme="minorEastAsia"/>
                <w:b w:val="0"/>
                <w:bCs w:val="0"/>
                <w:snapToGrid w:val="0"/>
                <w:color w:val="auto"/>
                <w:kern w:val="0"/>
                <w:sz w:val="24"/>
                <w:szCs w:val="24"/>
                <w:highlight w:val="none"/>
                <w:lang w:eastAsia="zh-CN"/>
              </w:rPr>
              <w:t>基准价</w:t>
            </w:r>
            <w:r>
              <w:rPr>
                <w:rFonts w:hint="eastAsia" w:ascii="宋体" w:hAnsi="宋体" w:eastAsia="宋体" w:cs="宋体"/>
                <w:b w:val="0"/>
                <w:bCs w:val="0"/>
                <w:snapToGrid/>
                <w:color w:val="auto"/>
                <w:kern w:val="2"/>
                <w:sz w:val="24"/>
                <w:szCs w:val="24"/>
                <w:highlight w:val="none"/>
                <w:lang w:eastAsia="zh-CN"/>
              </w:rPr>
              <w:t>，其价</w:t>
            </w:r>
            <w:r>
              <w:rPr>
                <w:rFonts w:hint="eastAsia" w:ascii="宋体" w:hAnsi="宋体" w:eastAsia="宋体" w:cs="宋体"/>
                <w:snapToGrid/>
                <w:color w:val="auto"/>
                <w:kern w:val="2"/>
                <w:sz w:val="24"/>
                <w:szCs w:val="24"/>
                <w:highlight w:val="none"/>
                <w:lang w:eastAsia="zh-CN"/>
              </w:rPr>
              <w:t>格分为满分。其他投标人的价格分统一按下列公式计算：</w:t>
            </w:r>
          </w:p>
          <w:p w14:paraId="36EE2AA5">
            <w:pPr>
              <w:keepNext w:val="0"/>
              <w:keepLines w:val="0"/>
              <w:pageBreakBefore w:val="0"/>
              <w:widowControl/>
              <w:kinsoku/>
              <w:wordWrap/>
              <w:overflowPunct/>
              <w:topLinePunct w:val="0"/>
              <w:autoSpaceDE/>
              <w:autoSpaceDN/>
              <w:bidi w:val="0"/>
              <w:adjustRightInd w:val="0"/>
              <w:snapToGrid w:val="0"/>
              <w:spacing w:line="360" w:lineRule="auto"/>
              <w:ind w:left="0" w:right="0"/>
              <w:jc w:val="both"/>
              <w:textAlignment w:val="auto"/>
              <w:rPr>
                <w:rFonts w:hint="default" w:ascii="宋体" w:hAnsi="宋体" w:eastAsia="宋体" w:cs="宋体"/>
                <w:snapToGrid/>
                <w:color w:val="auto"/>
                <w:kern w:val="2"/>
                <w:sz w:val="24"/>
                <w:szCs w:val="24"/>
                <w:highlight w:val="none"/>
                <w:lang w:val="en-US" w:eastAsia="zh-CN"/>
              </w:rPr>
            </w:pPr>
            <w:r>
              <w:rPr>
                <w:rFonts w:hint="eastAsia" w:ascii="宋体" w:hAnsi="宋体" w:eastAsia="宋体" w:cs="宋体"/>
                <w:snapToGrid/>
                <w:color w:val="auto"/>
                <w:kern w:val="2"/>
                <w:sz w:val="24"/>
                <w:szCs w:val="24"/>
                <w:highlight w:val="none"/>
                <w:lang w:eastAsia="zh-CN"/>
              </w:rPr>
              <w:t>投标报价得分=（评标基准价/投标报价）×</w:t>
            </w:r>
            <w:r>
              <w:rPr>
                <w:rFonts w:hint="eastAsia" w:ascii="宋体" w:hAnsi="宋体" w:eastAsia="宋体" w:cs="宋体"/>
                <w:snapToGrid/>
                <w:color w:val="auto"/>
                <w:kern w:val="2"/>
                <w:sz w:val="24"/>
                <w:szCs w:val="24"/>
                <w:highlight w:val="none"/>
                <w:lang w:val="en-US" w:eastAsia="zh-CN"/>
              </w:rPr>
              <w:t>15</w:t>
            </w:r>
            <w:r>
              <w:rPr>
                <w:rFonts w:hint="eastAsia" w:ascii="宋体" w:hAnsi="宋体" w:eastAsia="宋体" w:cs="宋体"/>
                <w:snapToGrid/>
                <w:color w:val="auto"/>
                <w:kern w:val="2"/>
                <w:sz w:val="24"/>
                <w:szCs w:val="24"/>
                <w:highlight w:val="none"/>
                <w:lang w:eastAsia="zh-CN"/>
              </w:rPr>
              <w:t>分</w:t>
            </w:r>
          </w:p>
          <w:p w14:paraId="322CB894">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注：1、投标人报价不得超出预算控制单价和采购预算，否则做无效投标处理。</w:t>
            </w:r>
          </w:p>
          <w:p w14:paraId="1DE339F9">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2、根据赣财规【2025】5号文件规定出现下列情形之一的，视为存在异常低价问题，评审委员会应当启动异常低价投标(响应)审查程序：</w:t>
            </w:r>
          </w:p>
          <w:p w14:paraId="2CFA7E18">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(一)投标(响应)报价低于全部通过符合性审查投标人投标(响应)报价平均值50%的，即投标(响应)报价&lt;全部通过符合性审查投标人投标(响应)报价平均值x50%;</w:t>
            </w:r>
          </w:p>
          <w:p w14:paraId="45138071">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(二)投标(响应)报价低于通过符合性审查且报价次低投标人投标(响应)报价50%的，即投标(响应)报价&lt;通过符合性审查且报价次低投标人投标(响应)报价x50%:</w:t>
            </w:r>
          </w:p>
          <w:p w14:paraId="1DCD4102">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(三)投标(响应)报价低于采购项目最高限价45%的，即投标(响应)报价&lt;采购项目最高限价x45%，项目没有设定最高限价的，采购预算视为最高限价;</w:t>
            </w:r>
          </w:p>
          <w:p w14:paraId="4E479648">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(四)评审委员会认为投标人报价过低，有可能影响产品质量或者不能诚信履约的其他情形。</w:t>
            </w:r>
          </w:p>
          <w:p w14:paraId="350166C0">
            <w:pPr>
              <w:keepNext w:val="0"/>
              <w:keepLines w:val="0"/>
              <w:pageBreakBefore w:val="0"/>
              <w:widowControl w:val="0"/>
              <w:kinsoku w:val="0"/>
              <w:wordWrap/>
              <w:overflowPunct/>
              <w:topLinePunct w:val="0"/>
              <w:autoSpaceDE w:val="0"/>
              <w:autoSpaceDN w:val="0"/>
              <w:bidi w:val="0"/>
              <w:adjustRightInd w:val="0"/>
              <w:snapToGrid w:val="0"/>
              <w:spacing w:beforeAutospacing="0" w:line="360" w:lineRule="auto"/>
              <w:ind w:left="0" w:leftChars="0" w:right="0" w:rightChars="0" w:firstLine="482"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eastAsia="zh-CN"/>
              </w:rPr>
              <w:t>相关法律法规对投标人报价有规定的，从其规定。</w:t>
            </w:r>
          </w:p>
          <w:p w14:paraId="03E3B8EA">
            <w:pPr>
              <w:keepNext w:val="0"/>
              <w:keepLines w:val="0"/>
              <w:pageBreakBefore w:val="0"/>
              <w:widowControl/>
              <w:kinsoku/>
              <w:wordWrap/>
              <w:overflowPunct/>
              <w:topLinePunct w:val="0"/>
              <w:autoSpaceDE/>
              <w:autoSpaceDN/>
              <w:bidi w:val="0"/>
              <w:adjustRightInd w:val="0"/>
              <w:snapToGrid w:val="0"/>
              <w:spacing w:line="360" w:lineRule="auto"/>
              <w:ind w:left="0" w:right="0"/>
              <w:jc w:val="both"/>
              <w:textAlignment w:val="auto"/>
              <w:rPr>
                <w:rFonts w:hint="eastAsia" w:ascii="宋体" w:hAnsi="宋体" w:eastAsia="宋体" w:cs="宋体"/>
                <w:snapToGrid/>
                <w:color w:val="auto"/>
                <w:kern w:val="2"/>
                <w:sz w:val="24"/>
                <w:szCs w:val="24"/>
                <w:highlight w:val="none"/>
                <w:lang w:eastAsia="zh-CN"/>
              </w:rPr>
            </w:pPr>
            <w:r>
              <w:rPr>
                <w:rFonts w:hint="eastAsia" w:asciiTheme="minorEastAsia" w:hAnsiTheme="minorEastAsia" w:eastAsiaTheme="minorEastAsia" w:cstheme="minorEastAsia"/>
                <w:b/>
                <w:bCs/>
                <w:color w:val="auto"/>
                <w:sz w:val="24"/>
                <w:szCs w:val="24"/>
                <w:highlight w:val="none"/>
                <w:lang w:val="en-US" w:eastAsia="zh-CN"/>
              </w:rPr>
              <w:t>3、</w:t>
            </w:r>
            <w:r>
              <w:rPr>
                <w:rFonts w:hint="eastAsia" w:asciiTheme="minorEastAsia" w:hAnsiTheme="minorEastAsia" w:eastAsiaTheme="minorEastAsia" w:cstheme="minorEastAsia"/>
                <w:b/>
                <w:bCs/>
                <w:color w:val="auto"/>
                <w:sz w:val="24"/>
                <w:szCs w:val="24"/>
                <w:highlight w:val="none"/>
                <w:lang w:eastAsia="zh-CN"/>
              </w:rPr>
              <w:t>评审委员会要求相关投标人在评标现场合理的时间内，提供项目具体成本测算等与报价合理性相关的书面说明及必要证明材料，对投标(响应)价格作出解释。投标(响应)投标人不提供书面说明、证明材料，或者提供的书面说明、证明材料不能证明其报价合理性的，评审委员会应当将其作为无效投标(响应)处理。审查相关情况应当在评审报告中进行记录。</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BCAC0D8">
            <w:pPr>
              <w:keepNext w:val="0"/>
              <w:keepLines w:val="0"/>
              <w:pageBreakBefore w:val="0"/>
              <w:widowControl w:val="0"/>
              <w:wordWrap/>
              <w:overflowPunct/>
              <w:topLinePunct w:val="0"/>
              <w:bidi w:val="0"/>
              <w:spacing w:line="360" w:lineRule="auto"/>
              <w:jc w:val="center"/>
              <w:rPr>
                <w:rFonts w:hint="eastAsia" w:ascii="宋体" w:hAnsi="宋体" w:eastAsia="宋体" w:cs="宋体"/>
                <w:bCs/>
                <w:color w:val="auto"/>
                <w:spacing w:val="0"/>
                <w:w w:val="100"/>
                <w:kern w:val="0"/>
                <w:position w:val="0"/>
                <w:sz w:val="24"/>
                <w:szCs w:val="24"/>
                <w:highlight w:val="none"/>
              </w:rPr>
            </w:pPr>
            <w:r>
              <w:rPr>
                <w:rFonts w:hint="eastAsia" w:ascii="宋体" w:hAnsi="宋体" w:eastAsia="宋体" w:cs="宋体"/>
                <w:bCs/>
                <w:color w:val="auto"/>
                <w:spacing w:val="0"/>
                <w:w w:val="100"/>
                <w:kern w:val="0"/>
                <w:position w:val="0"/>
                <w:sz w:val="24"/>
                <w:szCs w:val="24"/>
                <w:highlight w:val="none"/>
                <w:lang w:val="en-US" w:eastAsia="zh-CN"/>
              </w:rPr>
              <w:t>15</w:t>
            </w:r>
            <w:r>
              <w:rPr>
                <w:rFonts w:hint="eastAsia" w:ascii="宋体" w:hAnsi="宋体" w:eastAsia="宋体" w:cs="宋体"/>
                <w:bCs/>
                <w:color w:val="auto"/>
                <w:spacing w:val="0"/>
                <w:w w:val="100"/>
                <w:kern w:val="0"/>
                <w:position w:val="0"/>
                <w:sz w:val="24"/>
                <w:szCs w:val="24"/>
                <w:highlight w:val="none"/>
              </w:rPr>
              <w:t>分</w:t>
            </w:r>
          </w:p>
        </w:tc>
      </w:tr>
      <w:tr w14:paraId="52EE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767F1543">
            <w:pPr>
              <w:keepNext w:val="0"/>
              <w:keepLines w:val="0"/>
              <w:pageBreakBefore w:val="0"/>
              <w:widowControl w:val="0"/>
              <w:wordWrap/>
              <w:overflowPunct/>
              <w:topLinePunct w:val="0"/>
              <w:bidi w:val="0"/>
              <w:spacing w:line="36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（二）技术部分（</w:t>
            </w:r>
            <w:r>
              <w:rPr>
                <w:rFonts w:hint="eastAsia" w:ascii="宋体" w:hAnsi="宋体" w:eastAsia="宋体" w:cs="宋体"/>
                <w:b/>
                <w:color w:val="auto"/>
                <w:spacing w:val="0"/>
                <w:w w:val="100"/>
                <w:kern w:val="0"/>
                <w:position w:val="0"/>
                <w:sz w:val="24"/>
                <w:szCs w:val="24"/>
                <w:highlight w:val="none"/>
                <w:lang w:val="en-US" w:eastAsia="zh-CN"/>
              </w:rPr>
              <w:t>24分</w:t>
            </w:r>
            <w:r>
              <w:rPr>
                <w:rFonts w:hint="eastAsia" w:ascii="宋体" w:hAnsi="宋体" w:eastAsia="宋体" w:cs="宋体"/>
                <w:b/>
                <w:color w:val="auto"/>
                <w:spacing w:val="0"/>
                <w:w w:val="100"/>
                <w:kern w:val="0"/>
                <w:position w:val="0"/>
                <w:sz w:val="24"/>
                <w:szCs w:val="24"/>
                <w:highlight w:val="none"/>
              </w:rPr>
              <w:t>）</w:t>
            </w:r>
          </w:p>
        </w:tc>
      </w:tr>
      <w:tr w14:paraId="73D2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78846D0D">
            <w:pPr>
              <w:keepNext w:val="0"/>
              <w:keepLines w:val="0"/>
              <w:pageBreakBefore w:val="0"/>
              <w:widowControl w:val="0"/>
              <w:wordWrap/>
              <w:overflowPunct/>
              <w:topLinePunct w:val="0"/>
              <w:bidi w:val="0"/>
              <w:spacing w:line="36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00A50CDF">
            <w:pPr>
              <w:keepNext w:val="0"/>
              <w:keepLines w:val="0"/>
              <w:pageBreakBefore w:val="0"/>
              <w:widowControl w:val="0"/>
              <w:wordWrap/>
              <w:overflowPunct/>
              <w:topLinePunct w:val="0"/>
              <w:bidi w:val="0"/>
              <w:spacing w:line="360" w:lineRule="auto"/>
              <w:ind w:firstLine="361" w:firstLineChars="150"/>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01FCAF89">
            <w:pPr>
              <w:keepNext w:val="0"/>
              <w:keepLines w:val="0"/>
              <w:pageBreakBefore w:val="0"/>
              <w:widowControl w:val="0"/>
              <w:wordWrap/>
              <w:overflowPunct/>
              <w:topLinePunct w:val="0"/>
              <w:bidi w:val="0"/>
              <w:spacing w:line="360" w:lineRule="auto"/>
              <w:jc w:val="center"/>
              <w:rPr>
                <w:rFonts w:hint="eastAsia" w:ascii="宋体" w:hAnsi="宋体" w:eastAsia="宋体" w:cs="宋体"/>
                <w:b/>
                <w:color w:val="auto"/>
                <w:spacing w:val="0"/>
                <w:w w:val="100"/>
                <w:kern w:val="0"/>
                <w:position w:val="0"/>
                <w:sz w:val="24"/>
                <w:szCs w:val="24"/>
                <w:highlight w:val="none"/>
              </w:rPr>
            </w:pPr>
            <w:r>
              <w:rPr>
                <w:rFonts w:hint="eastAsia" w:ascii="宋体" w:hAnsi="宋体" w:eastAsia="宋体" w:cs="宋体"/>
                <w:b/>
                <w:color w:val="auto"/>
                <w:spacing w:val="0"/>
                <w:w w:val="100"/>
                <w:kern w:val="0"/>
                <w:position w:val="0"/>
                <w:sz w:val="24"/>
                <w:szCs w:val="24"/>
                <w:highlight w:val="none"/>
              </w:rPr>
              <w:t>分值</w:t>
            </w:r>
          </w:p>
        </w:tc>
      </w:tr>
      <w:tr w14:paraId="011E6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3C74E7FC">
            <w:pPr>
              <w:keepNext w:val="0"/>
              <w:keepLines w:val="0"/>
              <w:pageBreakBefore w:val="0"/>
              <w:widowControl w:val="0"/>
              <w:wordWrap/>
              <w:overflowPunct/>
              <w:topLinePunct w:val="0"/>
              <w:bidi w:val="0"/>
              <w:spacing w:line="360" w:lineRule="auto"/>
              <w:ind w:firstLine="0" w:firstLineChars="0"/>
              <w:jc w:val="center"/>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rPr>
              <w:t>技术指标及要求</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51F290D7">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rPr>
            </w:pPr>
            <w:r>
              <w:rPr>
                <w:rFonts w:hint="eastAsia" w:hAnsi="宋体" w:cs="宋体"/>
                <w:color w:val="auto"/>
                <w:sz w:val="24"/>
                <w:szCs w:val="24"/>
                <w:highlight w:val="none"/>
                <w:lang w:val="en-US" w:eastAsia="zh-CN"/>
              </w:rPr>
              <w:t>投标人须</w:t>
            </w:r>
            <w:r>
              <w:rPr>
                <w:rFonts w:hint="eastAsia" w:ascii="宋体" w:hAnsi="宋体" w:eastAsia="宋体" w:cs="宋体"/>
                <w:color w:val="auto"/>
                <w:sz w:val="24"/>
                <w:szCs w:val="24"/>
                <w:highlight w:val="none"/>
              </w:rPr>
              <w:t>全部满足</w:t>
            </w:r>
            <w:r>
              <w:rPr>
                <w:rFonts w:hint="eastAsia" w:ascii="宋体" w:hAnsi="宋体" w:eastAsia="宋体" w:cs="宋体"/>
                <w:b/>
                <w:bCs/>
                <w:color w:val="auto"/>
                <w:sz w:val="24"/>
                <w:szCs w:val="24"/>
                <w:highlight w:val="none"/>
                <w:lang w:val="en-US" w:eastAsia="zh-CN"/>
              </w:rPr>
              <w:t>“</w:t>
            </w:r>
            <w:r>
              <w:rPr>
                <w:rFonts w:hint="eastAsia" w:hAnsi="宋体" w:cs="宋体"/>
                <w:b/>
                <w:bCs/>
                <w:color w:val="auto"/>
                <w:sz w:val="24"/>
                <w:szCs w:val="24"/>
                <w:highlight w:val="none"/>
                <w:lang w:eastAsia="zh-CN"/>
              </w:rPr>
              <w:t>第五部分</w:t>
            </w:r>
            <w:r>
              <w:rPr>
                <w:rFonts w:hint="eastAsia" w:ascii="宋体" w:hAnsi="宋体" w:eastAsia="宋体" w:cs="宋体"/>
                <w:b/>
                <w:bCs/>
                <w:color w:val="auto"/>
                <w:sz w:val="24"/>
                <w:szCs w:val="24"/>
                <w:highlight w:val="none"/>
                <w:lang w:val="en-US" w:eastAsia="zh-CN"/>
              </w:rPr>
              <w:t xml:space="preserve"> </w:t>
            </w:r>
            <w:r>
              <w:rPr>
                <w:rFonts w:hint="eastAsia" w:hAnsi="宋体" w:cs="宋体"/>
                <w:b/>
                <w:bCs/>
                <w:color w:val="auto"/>
                <w:sz w:val="24"/>
                <w:szCs w:val="24"/>
                <w:highlight w:val="none"/>
                <w:lang w:eastAsia="zh-CN"/>
              </w:rPr>
              <w:t>项目清单及技术要求、</w:t>
            </w:r>
            <w:r>
              <w:rPr>
                <w:rFonts w:hint="eastAsia" w:ascii="宋体" w:hAnsi="宋体" w:eastAsia="宋体" w:cs="宋体"/>
                <w:b/>
                <w:bCs/>
                <w:color w:val="auto"/>
                <w:sz w:val="24"/>
                <w:szCs w:val="24"/>
                <w:highlight w:val="none"/>
              </w:rPr>
              <w:t>商务条款</w:t>
            </w:r>
            <w:r>
              <w:rPr>
                <w:rFonts w:hint="eastAsia" w:ascii="宋体" w:hAnsi="宋体" w:eastAsia="宋体" w:cs="宋体"/>
                <w:b/>
                <w:bCs/>
                <w:color w:val="auto"/>
                <w:sz w:val="24"/>
                <w:szCs w:val="24"/>
                <w:highlight w:val="none"/>
                <w:lang w:val="en-US" w:eastAsia="zh-CN"/>
              </w:rPr>
              <w:t xml:space="preserve"> 一、</w:t>
            </w:r>
            <w:r>
              <w:rPr>
                <w:rFonts w:hint="eastAsia" w:hAnsi="宋体" w:cs="宋体"/>
                <w:b/>
                <w:bCs/>
                <w:color w:val="auto"/>
                <w:sz w:val="24"/>
                <w:szCs w:val="24"/>
                <w:highlight w:val="none"/>
                <w:lang w:val="en-US" w:eastAsia="zh-CN"/>
              </w:rPr>
              <w:t>项目清单及技术要求</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color w:val="auto"/>
                <w:sz w:val="24"/>
                <w:szCs w:val="24"/>
                <w:highlight w:val="none"/>
              </w:rPr>
              <w:t>，</w:t>
            </w:r>
            <w:r>
              <w:rPr>
                <w:rFonts w:hint="eastAsia" w:hAnsi="宋体" w:cs="宋体"/>
                <w:color w:val="auto"/>
                <w:sz w:val="24"/>
                <w:szCs w:val="24"/>
                <w:highlight w:val="none"/>
                <w:lang w:val="en-US" w:eastAsia="zh-CN"/>
              </w:rPr>
              <w:t>有</w:t>
            </w:r>
            <w:r>
              <w:rPr>
                <w:rFonts w:hint="eastAsia" w:ascii="宋体" w:hAnsi="宋体" w:eastAsia="宋体" w:cs="宋体"/>
                <w:color w:val="auto"/>
                <w:sz w:val="24"/>
                <w:szCs w:val="24"/>
                <w:highlight w:val="none"/>
              </w:rPr>
              <w:t>任意一项不满足</w:t>
            </w:r>
            <w:r>
              <w:rPr>
                <w:rFonts w:hint="eastAsia" w:ascii="宋体" w:hAnsi="宋体" w:eastAsia="宋体" w:cs="宋体"/>
                <w:color w:val="auto"/>
                <w:sz w:val="24"/>
                <w:szCs w:val="24"/>
                <w:highlight w:val="none"/>
                <w:lang w:val="en-US" w:eastAsia="zh-CN"/>
              </w:rPr>
              <w:t>或负偏离</w:t>
            </w:r>
            <w:r>
              <w:rPr>
                <w:rFonts w:hint="eastAsia" w:ascii="宋体" w:hAnsi="宋体" w:eastAsia="宋体" w:cs="宋体"/>
                <w:color w:val="auto"/>
                <w:sz w:val="24"/>
                <w:szCs w:val="24"/>
                <w:highlight w:val="none"/>
              </w:rPr>
              <w:t>的作无效</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处理。</w:t>
            </w:r>
          </w:p>
          <w:p w14:paraId="0F2F421D">
            <w:pPr>
              <w:keepNext w:val="0"/>
              <w:keepLines w:val="0"/>
              <w:pageBreakBefore w:val="0"/>
              <w:widowControl w:val="0"/>
              <w:kinsoku w:val="0"/>
              <w:wordWrap/>
              <w:overflowPunct/>
              <w:topLinePunct w:val="0"/>
              <w:autoSpaceDE w:val="0"/>
              <w:autoSpaceDN w:val="0"/>
              <w:bidi w:val="0"/>
              <w:adjustRightInd w:val="0"/>
              <w:snapToGrid w:val="0"/>
              <w:spacing w:line="360" w:lineRule="auto"/>
              <w:ind w:firstLine="0" w:firstLineChars="0"/>
              <w:jc w:val="both"/>
              <w:textAlignment w:val="baseline"/>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z w:val="24"/>
                <w:szCs w:val="24"/>
                <w:highlight w:val="none"/>
              </w:rPr>
              <w:t>评审依据：</w:t>
            </w:r>
            <w:r>
              <w:rPr>
                <w:rFonts w:hint="eastAsia" w:ascii="宋体" w:hAnsi="宋体" w:cs="宋体"/>
                <w:b/>
                <w:bCs/>
                <w:color w:val="auto"/>
                <w:sz w:val="24"/>
                <w:szCs w:val="24"/>
                <w:highlight w:val="none"/>
                <w:lang w:val="en-US" w:eastAsia="zh-CN"/>
              </w:rPr>
              <w:t>投标文件中提供技术需求响应/偏离表。</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79470DF8">
            <w:pPr>
              <w:keepNext w:val="0"/>
              <w:keepLines w:val="0"/>
              <w:pageBreakBefore w:val="0"/>
              <w:widowControl w:val="0"/>
              <w:wordWrap/>
              <w:overflowPunct/>
              <w:topLinePunct w:val="0"/>
              <w:bidi w:val="0"/>
              <w:spacing w:line="360" w:lineRule="auto"/>
              <w:ind w:firstLine="0" w:firstLineChars="0"/>
              <w:jc w:val="center"/>
              <w:textAlignment w:val="center"/>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val="0"/>
                <w:bCs w:val="0"/>
                <w:color w:val="auto"/>
                <w:spacing w:val="0"/>
                <w:w w:val="100"/>
                <w:position w:val="0"/>
                <w:sz w:val="24"/>
                <w:szCs w:val="24"/>
                <w:highlight w:val="none"/>
              </w:rPr>
              <w:t>符合性审查</w:t>
            </w:r>
          </w:p>
        </w:tc>
      </w:tr>
      <w:tr w14:paraId="010B7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vMerge w:val="restart"/>
            <w:tcBorders>
              <w:top w:val="single" w:color="auto" w:sz="4" w:space="0"/>
              <w:left w:val="single" w:color="auto" w:sz="4" w:space="0"/>
              <w:right w:val="single" w:color="auto" w:sz="4" w:space="0"/>
            </w:tcBorders>
            <w:noWrap w:val="0"/>
            <w:vAlign w:val="center"/>
          </w:tcPr>
          <w:p w14:paraId="1A28BB64">
            <w:pPr>
              <w:keepNext w:val="0"/>
              <w:keepLines w:val="0"/>
              <w:pageBreakBefore w:val="0"/>
              <w:widowControl w:val="0"/>
              <w:wordWrap/>
              <w:overflowPunct/>
              <w:topLinePunct w:val="0"/>
              <w:bidi w:val="0"/>
              <w:spacing w:line="360" w:lineRule="auto"/>
              <w:ind w:firstLine="0" w:firstLineChars="0"/>
              <w:jc w:val="center"/>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lang w:val="zh-CN"/>
              </w:rPr>
              <w:t>检测及研发能力</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4F9C1C62">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所投</w:t>
            </w:r>
            <w:r>
              <w:rPr>
                <w:rFonts w:hint="eastAsia" w:ascii="宋体" w:hAnsi="宋体" w:eastAsia="宋体" w:cs="宋体"/>
                <w:color w:val="auto"/>
                <w:sz w:val="24"/>
                <w:szCs w:val="24"/>
                <w:highlight w:val="none"/>
                <w:lang w:val="en-US" w:eastAsia="zh-CN"/>
              </w:rPr>
              <w:t>产品制造商</w:t>
            </w:r>
            <w:r>
              <w:rPr>
                <w:rFonts w:hint="eastAsia" w:ascii="宋体" w:hAnsi="宋体" w:eastAsia="宋体" w:cs="宋体"/>
                <w:color w:val="auto"/>
                <w:sz w:val="24"/>
                <w:szCs w:val="24"/>
                <w:highlight w:val="none"/>
                <w:lang w:val="zh-CN" w:eastAsia="zh-CN"/>
              </w:rPr>
              <w:t xml:space="preserve"> PE 管材</w:t>
            </w:r>
            <w:r>
              <w:rPr>
                <w:rFonts w:hint="eastAsia" w:ascii="宋体" w:hAnsi="宋体" w:eastAsia="宋体" w:cs="宋体"/>
                <w:color w:val="auto"/>
                <w:sz w:val="24"/>
                <w:szCs w:val="24"/>
                <w:highlight w:val="none"/>
                <w:lang w:val="en-US" w:eastAsia="zh-CN"/>
              </w:rPr>
              <w:t>任一规格</w:t>
            </w:r>
            <w:r>
              <w:rPr>
                <w:rFonts w:hint="eastAsia" w:ascii="宋体" w:hAnsi="宋体" w:eastAsia="宋体" w:cs="宋体"/>
                <w:color w:val="auto"/>
                <w:sz w:val="24"/>
                <w:szCs w:val="24"/>
                <w:highlight w:val="none"/>
                <w:lang w:val="zh-CN" w:eastAsia="zh-CN"/>
              </w:rPr>
              <w:t>通过型式检验项目，满足或优于技术要求，同时包含如下检测项目：</w:t>
            </w:r>
          </w:p>
          <w:p w14:paraId="1AC7E868">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eastAsia="zh-CN"/>
              </w:rPr>
              <w:t>）静液压强度（80℃,1000h）：无破裂、无渗漏；</w:t>
            </w:r>
          </w:p>
          <w:p w14:paraId="335EBD17">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val="zh-CN" w:eastAsia="zh-CN"/>
              </w:rPr>
              <w:t>）氧化诱导时间：≥</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val="zh-CN" w:eastAsia="zh-CN"/>
              </w:rPr>
              <w:t>0min；</w:t>
            </w:r>
          </w:p>
          <w:p w14:paraId="1DF2498C">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（3）纵向回缩率：≤</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val="zh-CN" w:eastAsia="zh-CN"/>
              </w:rPr>
              <w:t>%；</w:t>
            </w:r>
          </w:p>
          <w:p w14:paraId="1578C3E9">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）炭黑分散</w:t>
            </w:r>
            <w:r>
              <w:rPr>
                <w:rFonts w:hint="eastAsia" w:hAnsi="宋体" w:eastAsia="宋体" w:cs="宋体"/>
                <w:color w:val="auto"/>
                <w:sz w:val="24"/>
                <w:szCs w:val="24"/>
                <w:highlight w:val="none"/>
                <w:lang w:val="en-US" w:eastAsia="zh-CN"/>
              </w:rPr>
              <w:t>等</w:t>
            </w:r>
            <w:r>
              <w:rPr>
                <w:rFonts w:hint="eastAsia" w:ascii="宋体" w:hAnsi="宋体" w:eastAsia="宋体" w:cs="宋体"/>
                <w:color w:val="auto"/>
                <w:sz w:val="24"/>
                <w:szCs w:val="24"/>
                <w:highlight w:val="none"/>
                <w:lang w:val="zh-CN" w:eastAsia="zh-CN"/>
              </w:rPr>
              <w:t>级：≤</w:t>
            </w:r>
            <w:r>
              <w:rPr>
                <w:rFonts w:hint="eastAsia" w:ascii="宋体" w:hAnsi="宋体" w:eastAsia="宋体" w:cs="宋体"/>
                <w:color w:val="auto"/>
                <w:sz w:val="24"/>
                <w:szCs w:val="24"/>
                <w:highlight w:val="none"/>
                <w:lang w:val="en-US" w:eastAsia="zh-CN"/>
              </w:rPr>
              <w:t>2.5</w:t>
            </w:r>
            <w:r>
              <w:rPr>
                <w:rFonts w:hint="eastAsia" w:ascii="宋体" w:hAnsi="宋体" w:eastAsia="宋体" w:cs="宋体"/>
                <w:color w:val="auto"/>
                <w:sz w:val="24"/>
                <w:szCs w:val="24"/>
                <w:highlight w:val="none"/>
                <w:lang w:val="zh-CN" w:eastAsia="zh-CN"/>
              </w:rPr>
              <w:t xml:space="preserve"> 级；</w:t>
            </w:r>
          </w:p>
          <w:p w14:paraId="2CE71FF9">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val="zh-CN" w:eastAsia="zh-CN"/>
              </w:rPr>
              <w:t>）灰分≤0.</w:t>
            </w:r>
            <w:r>
              <w:rPr>
                <w:rFonts w:hint="eastAsia" w:ascii="宋体" w:hAnsi="宋体" w:eastAsia="宋体" w:cs="宋体"/>
                <w:color w:val="auto"/>
                <w:sz w:val="24"/>
                <w:szCs w:val="24"/>
                <w:highlight w:val="none"/>
                <w:lang w:val="en-US" w:eastAsia="zh-CN"/>
              </w:rPr>
              <w:t>09</w:t>
            </w:r>
            <w:r>
              <w:rPr>
                <w:rFonts w:hint="eastAsia" w:ascii="宋体" w:hAnsi="宋体" w:eastAsia="宋体" w:cs="宋体"/>
                <w:color w:val="auto"/>
                <w:sz w:val="24"/>
                <w:szCs w:val="24"/>
                <w:highlight w:val="none"/>
                <w:lang w:val="zh-CN" w:eastAsia="zh-CN"/>
              </w:rPr>
              <w:t>%；</w:t>
            </w:r>
          </w:p>
          <w:p w14:paraId="614799FE">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w:t>
            </w:r>
            <w:r>
              <w:rPr>
                <w:rFonts w:hint="eastAsia"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）断裂伸长率：≥</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50%；</w:t>
            </w:r>
          </w:p>
          <w:p w14:paraId="5C02A0EB">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满足一项得1分</w:t>
            </w:r>
            <w:r>
              <w:rPr>
                <w:rFonts w:hint="eastAsia" w:hAnsi="宋体" w:eastAsia="宋体" w:cs="宋体"/>
                <w:color w:val="auto"/>
                <w:sz w:val="24"/>
                <w:szCs w:val="24"/>
                <w:highlight w:val="none"/>
                <w:lang w:val="en-US" w:eastAsia="zh-CN"/>
              </w:rPr>
              <w:t>，最高得6分</w:t>
            </w:r>
            <w:r>
              <w:rPr>
                <w:rFonts w:hint="eastAsia" w:ascii="宋体" w:hAnsi="宋体" w:eastAsia="宋体" w:cs="宋体"/>
                <w:color w:val="auto"/>
                <w:sz w:val="24"/>
                <w:szCs w:val="24"/>
                <w:highlight w:val="none"/>
                <w:lang w:val="en-US" w:eastAsia="zh-CN"/>
              </w:rPr>
              <w:t>；</w:t>
            </w:r>
          </w:p>
          <w:p w14:paraId="579BB58A">
            <w:pPr>
              <w:pStyle w:val="28"/>
              <w:keepNext w:val="0"/>
              <w:keepLines w:val="0"/>
              <w:pageBreakBefore w:val="0"/>
              <w:numPr>
                <w:ilvl w:val="0"/>
                <w:numId w:val="0"/>
              </w:numPr>
              <w:overflowPunct/>
              <w:topLinePunct w:val="0"/>
              <w:bidi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zh-CN" w:eastAsia="zh-CN"/>
              </w:rPr>
              <w:t>评审依据：带“CMA ”标识的检测报告扫描件</w:t>
            </w:r>
            <w:r>
              <w:rPr>
                <w:rFonts w:hint="eastAsia" w:ascii="宋体" w:hAnsi="宋体" w:eastAsia="宋体" w:cs="宋体"/>
                <w:b/>
                <w:bCs/>
                <w:color w:val="auto"/>
                <w:sz w:val="24"/>
                <w:szCs w:val="24"/>
                <w:highlight w:val="none"/>
                <w:lang w:val="en-US" w:eastAsia="zh-CN"/>
              </w:rPr>
              <w:t>并加盖制造商公章；未提供不得分</w:t>
            </w:r>
            <w:r>
              <w:rPr>
                <w:rFonts w:hint="eastAsia" w:ascii="宋体" w:hAnsi="宋体" w:eastAsia="宋体" w:cs="宋体"/>
                <w:b/>
                <w:bCs/>
                <w:color w:val="auto"/>
                <w:sz w:val="24"/>
                <w:szCs w:val="24"/>
                <w:highlight w:val="none"/>
                <w:lang w:val="zh-CN" w:eastAsia="zh-CN"/>
              </w:rPr>
              <w:t>。</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68A4FE0">
            <w:pPr>
              <w:keepNext w:val="0"/>
              <w:keepLines w:val="0"/>
              <w:pageBreakBefore w:val="0"/>
              <w:widowControl w:val="0"/>
              <w:wordWrap/>
              <w:overflowPunct/>
              <w:topLinePunct w:val="0"/>
              <w:bidi w:val="0"/>
              <w:spacing w:line="360" w:lineRule="auto"/>
              <w:ind w:firstLine="0" w:firstLineChars="0"/>
              <w:jc w:val="center"/>
              <w:textAlignment w:val="center"/>
              <w:rPr>
                <w:rFonts w:hint="default"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6分</w:t>
            </w:r>
          </w:p>
        </w:tc>
      </w:tr>
      <w:tr w14:paraId="7F25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vMerge w:val="continue"/>
            <w:tcBorders>
              <w:left w:val="single" w:color="auto" w:sz="4" w:space="0"/>
              <w:right w:val="single" w:color="auto" w:sz="4" w:space="0"/>
            </w:tcBorders>
            <w:noWrap w:val="0"/>
            <w:vAlign w:val="center"/>
          </w:tcPr>
          <w:p w14:paraId="64772181">
            <w:pPr>
              <w:keepNext w:val="0"/>
              <w:keepLines w:val="0"/>
              <w:pageBreakBefore w:val="0"/>
              <w:widowControl w:val="0"/>
              <w:wordWrap/>
              <w:overflowPunct/>
              <w:topLinePunct w:val="0"/>
              <w:bidi w:val="0"/>
              <w:spacing w:line="360" w:lineRule="auto"/>
              <w:ind w:firstLine="0" w:firstLineChars="0"/>
              <w:jc w:val="center"/>
              <w:rPr>
                <w:rFonts w:hint="eastAsia" w:ascii="宋体" w:hAnsi="宋体" w:eastAsia="宋体" w:cs="宋体"/>
                <w:b/>
                <w:bCs/>
                <w:color w:val="auto"/>
                <w:spacing w:val="0"/>
                <w:w w:val="100"/>
                <w:position w:val="0"/>
                <w:sz w:val="24"/>
                <w:szCs w:val="24"/>
                <w:highlight w:val="none"/>
                <w:lang w:val="zh-CN"/>
              </w:rPr>
            </w:pP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5E91E1">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①</w:t>
            </w:r>
            <w:r>
              <w:rPr>
                <w:rFonts w:ascii="Segoe UI" w:hAnsi="Segoe UI" w:eastAsia="Segoe UI" w:cs="Segoe UI"/>
                <w:i w:val="0"/>
                <w:iCs w:val="0"/>
                <w:caps w:val="0"/>
                <w:color w:val="0F1115"/>
                <w:spacing w:val="0"/>
                <w:sz w:val="24"/>
                <w:szCs w:val="24"/>
                <w:shd w:val="clear" w:fill="FFFFFF"/>
              </w:rPr>
              <w:t>所投</w:t>
            </w:r>
            <w:r>
              <w:rPr>
                <w:rFonts w:hint="eastAsia" w:ascii="Segoe UI" w:hAnsi="Segoe UI" w:eastAsia="宋体" w:cs="Segoe UI"/>
                <w:i w:val="0"/>
                <w:iCs w:val="0"/>
                <w:caps w:val="0"/>
                <w:color w:val="0F1115"/>
                <w:spacing w:val="0"/>
                <w:sz w:val="24"/>
                <w:szCs w:val="24"/>
                <w:shd w:val="clear" w:fill="FFFFFF"/>
                <w:lang w:val="en-US" w:eastAsia="zh-CN"/>
              </w:rPr>
              <w:t>核心产品</w:t>
            </w:r>
            <w:r>
              <w:rPr>
                <w:rFonts w:ascii="Segoe UI" w:hAnsi="Segoe UI" w:eastAsia="Segoe UI" w:cs="Segoe UI"/>
                <w:i w:val="0"/>
                <w:iCs w:val="0"/>
                <w:caps w:val="0"/>
                <w:color w:val="0F1115"/>
                <w:spacing w:val="0"/>
                <w:sz w:val="24"/>
                <w:szCs w:val="24"/>
                <w:shd w:val="clear" w:fill="FFFFFF"/>
              </w:rPr>
              <w:t>制造商具有完整的、先进的质量检测设备（如环刚度、环柔度、烘箱试验、冲击强度等设备），</w:t>
            </w:r>
            <w:r>
              <w:rPr>
                <w:rFonts w:hint="eastAsia" w:ascii="Segoe UI" w:hAnsi="Segoe UI" w:eastAsia="宋体" w:cs="Segoe UI"/>
                <w:i w:val="0"/>
                <w:iCs w:val="0"/>
                <w:caps w:val="0"/>
                <w:color w:val="0F1115"/>
                <w:spacing w:val="0"/>
                <w:sz w:val="24"/>
                <w:szCs w:val="24"/>
                <w:shd w:val="clear" w:fill="FFFFFF"/>
                <w:lang w:eastAsia="zh-CN"/>
              </w:rPr>
              <w:t>每提供</w:t>
            </w:r>
            <w:r>
              <w:rPr>
                <w:rFonts w:ascii="Segoe UI" w:hAnsi="Segoe UI" w:eastAsia="Segoe UI" w:cs="Segoe UI"/>
                <w:i w:val="0"/>
                <w:iCs w:val="0"/>
                <w:caps w:val="0"/>
                <w:color w:val="0F1115"/>
                <w:spacing w:val="0"/>
                <w:sz w:val="24"/>
                <w:szCs w:val="24"/>
                <w:shd w:val="clear" w:fill="FFFFFF"/>
              </w:rPr>
              <w:t>一项得1分</w:t>
            </w:r>
            <w:r>
              <w:rPr>
                <w:rFonts w:hint="eastAsia" w:ascii="Segoe UI" w:hAnsi="Segoe UI" w:eastAsia="宋体" w:cs="Segoe UI"/>
                <w:i w:val="0"/>
                <w:iCs w:val="0"/>
                <w:caps w:val="0"/>
                <w:color w:val="0F1115"/>
                <w:spacing w:val="0"/>
                <w:sz w:val="24"/>
                <w:szCs w:val="24"/>
                <w:shd w:val="clear" w:fill="FFFFFF"/>
                <w:lang w:eastAsia="zh-CN"/>
              </w:rPr>
              <w:t>，</w:t>
            </w:r>
            <w:r>
              <w:rPr>
                <w:rFonts w:hint="eastAsia" w:ascii="Segoe UI" w:hAnsi="Segoe UI" w:eastAsia="宋体" w:cs="Segoe UI"/>
                <w:i w:val="0"/>
                <w:iCs w:val="0"/>
                <w:caps w:val="0"/>
                <w:color w:val="0F1115"/>
                <w:spacing w:val="0"/>
                <w:sz w:val="24"/>
                <w:szCs w:val="24"/>
                <w:shd w:val="clear" w:fill="FFFFFF"/>
                <w:lang w:val="en-US" w:eastAsia="zh-CN"/>
              </w:rPr>
              <w:t>最高得4分。</w:t>
            </w:r>
          </w:p>
          <w:p w14:paraId="68D00678">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评审依据：</w:t>
            </w:r>
            <w:r>
              <w:rPr>
                <w:rFonts w:ascii="Segoe UI" w:hAnsi="Segoe UI" w:eastAsia="Segoe UI" w:cs="Segoe UI"/>
                <w:i w:val="0"/>
                <w:iCs w:val="0"/>
                <w:caps w:val="0"/>
                <w:color w:val="0F1115"/>
                <w:spacing w:val="0"/>
                <w:sz w:val="24"/>
                <w:szCs w:val="24"/>
                <w:shd w:val="clear" w:fill="FFFFFF"/>
              </w:rPr>
              <w:t>提供设备图片，并根据设备来源提供以下对应证明材料：设备为自有的提供设备采购合同及设备购买发票扫描件，设备为租赁的提供有效的设备租赁合同、近3个月内任意一期租金支付凭证（或租赁发票）</w:t>
            </w:r>
            <w:r>
              <w:rPr>
                <w:rFonts w:hint="eastAsia" w:ascii="Segoe UI" w:hAnsi="Segoe UI" w:eastAsia="宋体" w:cs="Segoe UI"/>
                <w:i w:val="0"/>
                <w:iCs w:val="0"/>
                <w:caps w:val="0"/>
                <w:color w:val="0F1115"/>
                <w:spacing w:val="0"/>
                <w:sz w:val="24"/>
                <w:szCs w:val="24"/>
                <w:shd w:val="clear" w:fill="FFFFFF"/>
                <w:lang w:eastAsia="zh-CN"/>
              </w:rPr>
              <w:t>。</w:t>
            </w:r>
            <w:r>
              <w:rPr>
                <w:rFonts w:hint="eastAsia" w:ascii="Segoe UI" w:hAnsi="Segoe UI" w:eastAsia="宋体" w:cs="Segoe UI"/>
                <w:b/>
                <w:bCs/>
                <w:i w:val="0"/>
                <w:iCs w:val="0"/>
                <w:caps w:val="0"/>
                <w:color w:val="0F1115"/>
                <w:spacing w:val="0"/>
                <w:sz w:val="24"/>
                <w:szCs w:val="24"/>
                <w:shd w:val="clear" w:fill="FFFFFF"/>
                <w:lang w:val="en-US" w:eastAsia="zh-CN"/>
              </w:rPr>
              <w:t>以上材料</w:t>
            </w:r>
            <w:r>
              <w:rPr>
                <w:rFonts w:ascii="Segoe UI" w:hAnsi="Segoe UI" w:eastAsia="Segoe UI" w:cs="Segoe UI"/>
                <w:b/>
                <w:bCs/>
                <w:i w:val="0"/>
                <w:iCs w:val="0"/>
                <w:caps w:val="0"/>
                <w:color w:val="0F1115"/>
                <w:spacing w:val="0"/>
                <w:sz w:val="24"/>
                <w:szCs w:val="24"/>
                <w:shd w:val="clear" w:fill="FFFFFF"/>
              </w:rPr>
              <w:t>均须加盖制造商公章</w:t>
            </w:r>
            <w:r>
              <w:rPr>
                <w:rFonts w:hint="eastAsia"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lang w:val="en-US" w:eastAsia="zh-CN"/>
              </w:rPr>
              <w:t>未提供不得分</w:t>
            </w:r>
            <w:r>
              <w:rPr>
                <w:rFonts w:hint="eastAsia" w:ascii="宋体" w:hAnsi="宋体" w:eastAsia="宋体" w:cs="宋体"/>
                <w:b/>
                <w:bCs/>
                <w:color w:val="auto"/>
                <w:sz w:val="24"/>
                <w:szCs w:val="24"/>
                <w:highlight w:val="none"/>
                <w:lang w:val="zh-CN" w:eastAsia="zh-CN"/>
              </w:rPr>
              <w:t>。</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8DF3DD">
            <w:pPr>
              <w:keepNext w:val="0"/>
              <w:keepLines w:val="0"/>
              <w:pageBreakBefore w:val="0"/>
              <w:widowControl w:val="0"/>
              <w:wordWrap/>
              <w:overflowPunct/>
              <w:topLinePunct w:val="0"/>
              <w:bidi w:val="0"/>
              <w:spacing w:line="360" w:lineRule="auto"/>
              <w:ind w:firstLine="0" w:firstLineChars="0"/>
              <w:jc w:val="center"/>
              <w:textAlignment w:val="center"/>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en-US" w:eastAsia="zh-CN"/>
              </w:rPr>
              <w:t>4</w:t>
            </w:r>
            <w:r>
              <w:rPr>
                <w:rFonts w:hint="eastAsia" w:ascii="宋体" w:hAnsi="宋体" w:eastAsia="宋体" w:cs="宋体"/>
                <w:b w:val="0"/>
                <w:bCs w:val="0"/>
                <w:color w:val="auto"/>
                <w:spacing w:val="0"/>
                <w:w w:val="100"/>
                <w:position w:val="0"/>
                <w:sz w:val="24"/>
                <w:szCs w:val="24"/>
                <w:highlight w:val="none"/>
                <w:lang w:val="zh-CN" w:eastAsia="zh-CN"/>
              </w:rPr>
              <w:t>分</w:t>
            </w:r>
          </w:p>
        </w:tc>
      </w:tr>
      <w:tr w14:paraId="348DC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vMerge w:val="continue"/>
            <w:tcBorders>
              <w:left w:val="single" w:color="auto" w:sz="4" w:space="0"/>
              <w:right w:val="single" w:color="auto" w:sz="4" w:space="0"/>
            </w:tcBorders>
            <w:noWrap w:val="0"/>
            <w:vAlign w:val="center"/>
          </w:tcPr>
          <w:p w14:paraId="02154461">
            <w:pPr>
              <w:keepNext w:val="0"/>
              <w:keepLines w:val="0"/>
              <w:pageBreakBefore w:val="0"/>
              <w:widowControl w:val="0"/>
              <w:wordWrap/>
              <w:overflowPunct/>
              <w:topLinePunct w:val="0"/>
              <w:bidi w:val="0"/>
              <w:spacing w:line="360" w:lineRule="auto"/>
              <w:ind w:firstLine="0" w:firstLineChars="0"/>
              <w:jc w:val="center"/>
              <w:rPr>
                <w:rFonts w:hint="eastAsia" w:ascii="宋体" w:hAnsi="宋体" w:eastAsia="宋体" w:cs="宋体"/>
                <w:b/>
                <w:bCs/>
                <w:color w:val="auto"/>
                <w:spacing w:val="0"/>
                <w:w w:val="100"/>
                <w:position w:val="0"/>
                <w:sz w:val="24"/>
                <w:szCs w:val="24"/>
                <w:highlight w:val="none"/>
              </w:rPr>
            </w:pP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0EAEC81">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②</w:t>
            </w:r>
            <w:r>
              <w:rPr>
                <w:rFonts w:ascii="Segoe UI" w:hAnsi="Segoe UI" w:eastAsia="Segoe UI" w:cs="Segoe UI"/>
                <w:i w:val="0"/>
                <w:iCs w:val="0"/>
                <w:caps w:val="0"/>
                <w:color w:val="0F1115"/>
                <w:spacing w:val="0"/>
                <w:sz w:val="24"/>
                <w:szCs w:val="24"/>
                <w:shd w:val="clear" w:fill="FFFFFF"/>
              </w:rPr>
              <w:t>所投</w:t>
            </w:r>
            <w:r>
              <w:rPr>
                <w:rFonts w:hint="eastAsia" w:ascii="Segoe UI" w:hAnsi="Segoe UI" w:eastAsia="宋体" w:cs="Segoe UI"/>
                <w:i w:val="0"/>
                <w:iCs w:val="0"/>
                <w:caps w:val="0"/>
                <w:color w:val="0F1115"/>
                <w:spacing w:val="0"/>
                <w:sz w:val="24"/>
                <w:szCs w:val="24"/>
                <w:shd w:val="clear" w:fill="FFFFFF"/>
                <w:lang w:val="en-US" w:eastAsia="zh-CN"/>
              </w:rPr>
              <w:t>核心产品</w:t>
            </w:r>
            <w:r>
              <w:rPr>
                <w:rFonts w:ascii="Segoe UI" w:hAnsi="Segoe UI" w:eastAsia="Segoe UI" w:cs="Segoe UI"/>
                <w:i w:val="0"/>
                <w:iCs w:val="0"/>
                <w:caps w:val="0"/>
                <w:color w:val="0F1115"/>
                <w:spacing w:val="0"/>
                <w:sz w:val="24"/>
                <w:szCs w:val="24"/>
                <w:shd w:val="clear" w:fill="FFFFFF"/>
              </w:rPr>
              <w:t>制造商具有原材料检测设备（如炭黑分散、氧化诱导时间、熔体流动速率等设备），</w:t>
            </w:r>
            <w:r>
              <w:rPr>
                <w:rFonts w:hint="eastAsia" w:ascii="Segoe UI" w:hAnsi="Segoe UI" w:eastAsia="宋体" w:cs="Segoe UI"/>
                <w:i w:val="0"/>
                <w:iCs w:val="0"/>
                <w:caps w:val="0"/>
                <w:color w:val="0F1115"/>
                <w:spacing w:val="0"/>
                <w:sz w:val="24"/>
                <w:szCs w:val="24"/>
                <w:shd w:val="clear" w:fill="FFFFFF"/>
                <w:lang w:eastAsia="zh-CN"/>
              </w:rPr>
              <w:t>每提供</w:t>
            </w:r>
            <w:r>
              <w:rPr>
                <w:rFonts w:ascii="Segoe UI" w:hAnsi="Segoe UI" w:eastAsia="Segoe UI" w:cs="Segoe UI"/>
                <w:i w:val="0"/>
                <w:iCs w:val="0"/>
                <w:caps w:val="0"/>
                <w:color w:val="0F1115"/>
                <w:spacing w:val="0"/>
                <w:sz w:val="24"/>
                <w:szCs w:val="24"/>
                <w:shd w:val="clear" w:fill="FFFFFF"/>
              </w:rPr>
              <w:t>一项得1分</w:t>
            </w:r>
            <w:r>
              <w:rPr>
                <w:rFonts w:hint="eastAsia" w:ascii="Segoe UI" w:hAnsi="Segoe UI" w:eastAsia="宋体" w:cs="Segoe UI"/>
                <w:i w:val="0"/>
                <w:iCs w:val="0"/>
                <w:caps w:val="0"/>
                <w:color w:val="0F1115"/>
                <w:spacing w:val="0"/>
                <w:sz w:val="24"/>
                <w:szCs w:val="24"/>
                <w:shd w:val="clear" w:fill="FFFFFF"/>
                <w:lang w:eastAsia="zh-CN"/>
              </w:rPr>
              <w:t>，</w:t>
            </w:r>
            <w:r>
              <w:rPr>
                <w:rFonts w:hint="eastAsia" w:ascii="Segoe UI" w:hAnsi="Segoe UI" w:eastAsia="宋体" w:cs="Segoe UI"/>
                <w:i w:val="0"/>
                <w:iCs w:val="0"/>
                <w:caps w:val="0"/>
                <w:color w:val="0F1115"/>
                <w:spacing w:val="0"/>
                <w:sz w:val="24"/>
                <w:szCs w:val="24"/>
                <w:shd w:val="clear" w:fill="FFFFFF"/>
                <w:lang w:val="en-US" w:eastAsia="zh-CN"/>
              </w:rPr>
              <w:t>最高得3分。</w:t>
            </w:r>
          </w:p>
          <w:p w14:paraId="7E662911">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评审依据：</w:t>
            </w:r>
            <w:r>
              <w:rPr>
                <w:rFonts w:ascii="Segoe UI" w:hAnsi="Segoe UI" w:eastAsia="Segoe UI" w:cs="Segoe UI"/>
                <w:i w:val="0"/>
                <w:iCs w:val="0"/>
                <w:caps w:val="0"/>
                <w:color w:val="0F1115"/>
                <w:spacing w:val="0"/>
                <w:sz w:val="24"/>
                <w:szCs w:val="24"/>
                <w:shd w:val="clear" w:fill="FFFFFF"/>
              </w:rPr>
              <w:t>提供设备图片，并根据设备来源提供以下对应证明材料：设备为自有的提供设备采购合同及设备购买发票扫描件，设备为租赁的提供有效的设备租赁合同、近3个月内任意一期租金支付凭证（或租赁发票）</w:t>
            </w:r>
            <w:r>
              <w:rPr>
                <w:rFonts w:hint="eastAsia" w:ascii="Segoe UI" w:hAnsi="Segoe UI" w:eastAsia="宋体" w:cs="Segoe UI"/>
                <w:i w:val="0"/>
                <w:iCs w:val="0"/>
                <w:caps w:val="0"/>
                <w:color w:val="0F1115"/>
                <w:spacing w:val="0"/>
                <w:sz w:val="24"/>
                <w:szCs w:val="24"/>
                <w:shd w:val="clear" w:fill="FFFFFF"/>
                <w:lang w:eastAsia="zh-CN"/>
              </w:rPr>
              <w:t>。</w:t>
            </w:r>
            <w:r>
              <w:rPr>
                <w:rFonts w:hint="eastAsia" w:ascii="Segoe UI" w:hAnsi="Segoe UI" w:eastAsia="宋体" w:cs="Segoe UI"/>
                <w:b/>
                <w:bCs/>
                <w:i w:val="0"/>
                <w:iCs w:val="0"/>
                <w:caps w:val="0"/>
                <w:color w:val="0F1115"/>
                <w:spacing w:val="0"/>
                <w:sz w:val="24"/>
                <w:szCs w:val="24"/>
                <w:shd w:val="clear" w:fill="FFFFFF"/>
                <w:lang w:val="en-US" w:eastAsia="zh-CN"/>
              </w:rPr>
              <w:t>以上材料</w:t>
            </w:r>
            <w:r>
              <w:rPr>
                <w:rFonts w:ascii="Segoe UI" w:hAnsi="Segoe UI" w:eastAsia="Segoe UI" w:cs="Segoe UI"/>
                <w:b/>
                <w:bCs/>
                <w:i w:val="0"/>
                <w:iCs w:val="0"/>
                <w:caps w:val="0"/>
                <w:color w:val="0F1115"/>
                <w:spacing w:val="0"/>
                <w:sz w:val="24"/>
                <w:szCs w:val="24"/>
                <w:shd w:val="clear" w:fill="FFFFFF"/>
              </w:rPr>
              <w:t>均须加盖制造商公章</w:t>
            </w:r>
            <w:r>
              <w:rPr>
                <w:rFonts w:hint="eastAsia"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lang w:val="en-US" w:eastAsia="zh-CN"/>
              </w:rPr>
              <w:t>未提供不得分</w:t>
            </w:r>
            <w:r>
              <w:rPr>
                <w:rFonts w:hint="eastAsia" w:ascii="宋体" w:hAnsi="宋体" w:eastAsia="宋体" w:cs="宋体"/>
                <w:b/>
                <w:bCs/>
                <w:color w:val="auto"/>
                <w:sz w:val="24"/>
                <w:szCs w:val="24"/>
                <w:highlight w:val="none"/>
                <w:lang w:val="zh-CN" w:eastAsia="zh-CN"/>
              </w:rPr>
              <w:t>。</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0565F1">
            <w:pPr>
              <w:keepNext w:val="0"/>
              <w:keepLines w:val="0"/>
              <w:pageBreakBefore w:val="0"/>
              <w:widowControl w:val="0"/>
              <w:wordWrap/>
              <w:overflowPunct/>
              <w:topLinePunct w:val="0"/>
              <w:bidi w:val="0"/>
              <w:spacing w:line="360" w:lineRule="auto"/>
              <w:ind w:firstLine="0" w:firstLineChars="0"/>
              <w:jc w:val="center"/>
              <w:textAlignment w:val="center"/>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zh-CN" w:eastAsia="zh-CN"/>
              </w:rPr>
              <w:t>3分</w:t>
            </w:r>
          </w:p>
        </w:tc>
      </w:tr>
      <w:tr w14:paraId="090B6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vMerge w:val="continue"/>
            <w:tcBorders>
              <w:left w:val="single" w:color="auto" w:sz="4" w:space="0"/>
              <w:bottom w:val="single" w:color="auto" w:sz="4" w:space="0"/>
              <w:right w:val="single" w:color="auto" w:sz="4" w:space="0"/>
            </w:tcBorders>
            <w:noWrap w:val="0"/>
            <w:vAlign w:val="center"/>
          </w:tcPr>
          <w:p w14:paraId="03AE5F2B">
            <w:pPr>
              <w:keepNext w:val="0"/>
              <w:keepLines w:val="0"/>
              <w:pageBreakBefore w:val="0"/>
              <w:widowControl w:val="0"/>
              <w:wordWrap/>
              <w:overflowPunct/>
              <w:topLinePunct w:val="0"/>
              <w:bidi w:val="0"/>
              <w:spacing w:line="360" w:lineRule="auto"/>
              <w:ind w:firstLine="0" w:firstLineChars="0"/>
              <w:jc w:val="center"/>
              <w:rPr>
                <w:rFonts w:hint="eastAsia" w:ascii="宋体" w:hAnsi="宋体" w:eastAsia="宋体" w:cs="宋体"/>
                <w:b/>
                <w:bCs/>
                <w:color w:val="auto"/>
                <w:spacing w:val="0"/>
                <w:w w:val="100"/>
                <w:position w:val="0"/>
                <w:sz w:val="24"/>
                <w:szCs w:val="24"/>
                <w:highlight w:val="none"/>
              </w:rPr>
            </w:pP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DF86D4">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③</w:t>
            </w:r>
            <w:r>
              <w:rPr>
                <w:rFonts w:ascii="Segoe UI" w:hAnsi="Segoe UI" w:eastAsia="Segoe UI" w:cs="Segoe UI"/>
                <w:i w:val="0"/>
                <w:iCs w:val="0"/>
                <w:caps w:val="0"/>
                <w:color w:val="0F1115"/>
                <w:spacing w:val="0"/>
                <w:sz w:val="24"/>
                <w:szCs w:val="24"/>
                <w:shd w:val="clear" w:fill="FFFFFF"/>
              </w:rPr>
              <w:t>所投</w:t>
            </w:r>
            <w:r>
              <w:rPr>
                <w:rFonts w:hint="eastAsia" w:ascii="Segoe UI" w:hAnsi="Segoe UI" w:eastAsia="宋体" w:cs="Segoe UI"/>
                <w:i w:val="0"/>
                <w:iCs w:val="0"/>
                <w:caps w:val="0"/>
                <w:color w:val="0F1115"/>
                <w:spacing w:val="0"/>
                <w:sz w:val="24"/>
                <w:szCs w:val="24"/>
                <w:shd w:val="clear" w:fill="FFFFFF"/>
                <w:lang w:val="en-US" w:eastAsia="zh-CN"/>
              </w:rPr>
              <w:t>核心产品</w:t>
            </w:r>
            <w:r>
              <w:rPr>
                <w:rFonts w:ascii="Segoe UI" w:hAnsi="Segoe UI" w:eastAsia="Segoe UI" w:cs="Segoe UI"/>
                <w:i w:val="0"/>
                <w:iCs w:val="0"/>
                <w:caps w:val="0"/>
                <w:color w:val="0F1115"/>
                <w:spacing w:val="0"/>
                <w:sz w:val="24"/>
                <w:szCs w:val="24"/>
                <w:shd w:val="clear" w:fill="FFFFFF"/>
              </w:rPr>
              <w:t>制造商具有研发设备（如热重分析仪、X-射线荧光能谱仪、转矩流变仪等设备），</w:t>
            </w:r>
            <w:r>
              <w:rPr>
                <w:rFonts w:hint="eastAsia" w:ascii="Segoe UI" w:hAnsi="Segoe UI" w:eastAsia="宋体" w:cs="Segoe UI"/>
                <w:i w:val="0"/>
                <w:iCs w:val="0"/>
                <w:caps w:val="0"/>
                <w:color w:val="0F1115"/>
                <w:spacing w:val="0"/>
                <w:sz w:val="24"/>
                <w:szCs w:val="24"/>
                <w:shd w:val="clear" w:fill="FFFFFF"/>
                <w:lang w:eastAsia="zh-CN"/>
              </w:rPr>
              <w:t>每提供</w:t>
            </w:r>
            <w:r>
              <w:rPr>
                <w:rFonts w:ascii="Segoe UI" w:hAnsi="Segoe UI" w:eastAsia="Segoe UI" w:cs="Segoe UI"/>
                <w:i w:val="0"/>
                <w:iCs w:val="0"/>
                <w:caps w:val="0"/>
                <w:color w:val="0F1115"/>
                <w:spacing w:val="0"/>
                <w:sz w:val="24"/>
                <w:szCs w:val="24"/>
                <w:shd w:val="clear" w:fill="FFFFFF"/>
              </w:rPr>
              <w:t>一项得1分</w:t>
            </w:r>
            <w:r>
              <w:rPr>
                <w:rFonts w:hint="eastAsia" w:ascii="Segoe UI" w:hAnsi="Segoe UI" w:eastAsia="宋体" w:cs="Segoe UI"/>
                <w:i w:val="0"/>
                <w:iCs w:val="0"/>
                <w:caps w:val="0"/>
                <w:color w:val="0F1115"/>
                <w:spacing w:val="0"/>
                <w:sz w:val="24"/>
                <w:szCs w:val="24"/>
                <w:shd w:val="clear" w:fill="FFFFFF"/>
                <w:lang w:eastAsia="zh-CN"/>
              </w:rPr>
              <w:t>，</w:t>
            </w:r>
            <w:r>
              <w:rPr>
                <w:rFonts w:hint="eastAsia" w:ascii="Segoe UI" w:hAnsi="Segoe UI" w:eastAsia="宋体" w:cs="Segoe UI"/>
                <w:i w:val="0"/>
                <w:iCs w:val="0"/>
                <w:caps w:val="0"/>
                <w:color w:val="0F1115"/>
                <w:spacing w:val="0"/>
                <w:sz w:val="24"/>
                <w:szCs w:val="24"/>
                <w:shd w:val="clear" w:fill="FFFFFF"/>
                <w:lang w:val="en-US" w:eastAsia="zh-CN"/>
              </w:rPr>
              <w:t>最高得3分。</w:t>
            </w:r>
          </w:p>
          <w:p w14:paraId="0AB46FAD">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b/>
                <w:bCs/>
                <w:color w:val="auto"/>
                <w:sz w:val="24"/>
                <w:szCs w:val="24"/>
                <w:highlight w:val="none"/>
                <w:lang w:val="zh-CN" w:eastAsia="zh-CN"/>
              </w:rPr>
              <w:t>评审依据：</w:t>
            </w:r>
            <w:r>
              <w:rPr>
                <w:rFonts w:ascii="Segoe UI" w:hAnsi="Segoe UI" w:eastAsia="Segoe UI" w:cs="Segoe UI"/>
                <w:i w:val="0"/>
                <w:iCs w:val="0"/>
                <w:caps w:val="0"/>
                <w:color w:val="0F1115"/>
                <w:spacing w:val="0"/>
                <w:sz w:val="24"/>
                <w:szCs w:val="24"/>
                <w:shd w:val="clear" w:fill="FFFFFF"/>
              </w:rPr>
              <w:t>提供设备图片，并根据设备来源提供以下对应证明材料：设备为自有的提供设备采购合同及设备购买发票扫描件，设备为租赁的提供有效的设备租赁合同、近3个月内任意一期租金支付凭证（或租赁发票）</w:t>
            </w:r>
            <w:r>
              <w:rPr>
                <w:rFonts w:hint="eastAsia" w:ascii="Segoe UI" w:hAnsi="Segoe UI" w:eastAsia="宋体" w:cs="Segoe UI"/>
                <w:i w:val="0"/>
                <w:iCs w:val="0"/>
                <w:caps w:val="0"/>
                <w:color w:val="0F1115"/>
                <w:spacing w:val="0"/>
                <w:sz w:val="24"/>
                <w:szCs w:val="24"/>
                <w:shd w:val="clear" w:fill="FFFFFF"/>
                <w:lang w:eastAsia="zh-CN"/>
              </w:rPr>
              <w:t>。</w:t>
            </w:r>
            <w:r>
              <w:rPr>
                <w:rFonts w:hint="eastAsia" w:ascii="Segoe UI" w:hAnsi="Segoe UI" w:eastAsia="宋体" w:cs="Segoe UI"/>
                <w:b/>
                <w:bCs/>
                <w:i w:val="0"/>
                <w:iCs w:val="0"/>
                <w:caps w:val="0"/>
                <w:color w:val="0F1115"/>
                <w:spacing w:val="0"/>
                <w:sz w:val="24"/>
                <w:szCs w:val="24"/>
                <w:shd w:val="clear" w:fill="FFFFFF"/>
                <w:lang w:val="en-US" w:eastAsia="zh-CN"/>
              </w:rPr>
              <w:t>以上材料</w:t>
            </w:r>
            <w:r>
              <w:rPr>
                <w:rFonts w:ascii="Segoe UI" w:hAnsi="Segoe UI" w:eastAsia="Segoe UI" w:cs="Segoe UI"/>
                <w:b/>
                <w:bCs/>
                <w:i w:val="0"/>
                <w:iCs w:val="0"/>
                <w:caps w:val="0"/>
                <w:color w:val="0F1115"/>
                <w:spacing w:val="0"/>
                <w:sz w:val="24"/>
                <w:szCs w:val="24"/>
                <w:shd w:val="clear" w:fill="FFFFFF"/>
              </w:rPr>
              <w:t>均须加盖制造商公章</w:t>
            </w:r>
            <w:r>
              <w:rPr>
                <w:rFonts w:hint="eastAsia" w:hAnsi="宋体" w:eastAsia="宋体" w:cs="宋体"/>
                <w:b/>
                <w:bCs/>
                <w:color w:val="auto"/>
                <w:sz w:val="24"/>
                <w:szCs w:val="24"/>
                <w:highlight w:val="none"/>
                <w:lang w:val="zh-CN" w:eastAsia="zh-CN"/>
              </w:rPr>
              <w:t>，</w:t>
            </w:r>
            <w:r>
              <w:rPr>
                <w:rFonts w:hint="eastAsia" w:ascii="宋体" w:hAnsi="宋体" w:eastAsia="宋体" w:cs="宋体"/>
                <w:b/>
                <w:bCs/>
                <w:color w:val="auto"/>
                <w:sz w:val="24"/>
                <w:szCs w:val="24"/>
                <w:highlight w:val="none"/>
                <w:lang w:val="zh-CN" w:eastAsia="zh-CN"/>
              </w:rPr>
              <w:t>未提供不得分。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33CABF">
            <w:pPr>
              <w:keepNext w:val="0"/>
              <w:keepLines w:val="0"/>
              <w:pageBreakBefore w:val="0"/>
              <w:widowControl w:val="0"/>
              <w:wordWrap/>
              <w:overflowPunct/>
              <w:topLinePunct w:val="0"/>
              <w:bidi w:val="0"/>
              <w:spacing w:line="360" w:lineRule="auto"/>
              <w:ind w:firstLine="0" w:firstLineChars="0"/>
              <w:jc w:val="center"/>
              <w:textAlignment w:val="center"/>
              <w:rPr>
                <w:rFonts w:hint="eastAsia" w:ascii="宋体" w:hAnsi="宋体" w:eastAsia="宋体" w:cs="宋体"/>
                <w:b w:val="0"/>
                <w:bCs w:val="0"/>
                <w:color w:val="auto"/>
                <w:spacing w:val="0"/>
                <w:w w:val="100"/>
                <w:position w:val="0"/>
                <w:sz w:val="24"/>
                <w:szCs w:val="24"/>
                <w:highlight w:val="none"/>
                <w:lang w:val="en-US" w:eastAsia="zh-CN"/>
              </w:rPr>
            </w:pPr>
            <w:r>
              <w:rPr>
                <w:rFonts w:hint="eastAsia" w:ascii="宋体" w:hAnsi="宋体" w:eastAsia="宋体" w:cs="宋体"/>
                <w:b w:val="0"/>
                <w:bCs w:val="0"/>
                <w:color w:val="auto"/>
                <w:spacing w:val="0"/>
                <w:w w:val="100"/>
                <w:position w:val="0"/>
                <w:sz w:val="24"/>
                <w:szCs w:val="24"/>
                <w:highlight w:val="none"/>
                <w:lang w:val="zh-CN" w:eastAsia="zh-CN"/>
              </w:rPr>
              <w:t>3分</w:t>
            </w:r>
          </w:p>
        </w:tc>
      </w:tr>
      <w:tr w14:paraId="58E2A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6E2C6151">
            <w:pPr>
              <w:pStyle w:val="24"/>
              <w:keepNext w:val="0"/>
              <w:keepLines w:val="0"/>
              <w:pageBreakBefore w:val="0"/>
              <w:numPr>
                <w:ilvl w:val="0"/>
                <w:numId w:val="0"/>
              </w:numPr>
              <w:overflowPunct/>
              <w:topLinePunct w:val="0"/>
              <w:bidi w:val="0"/>
              <w:spacing w:line="360" w:lineRule="auto"/>
              <w:ind w:left="0" w:leftChars="0" w:firstLine="0" w:firstLineChars="0"/>
              <w:jc w:val="center"/>
              <w:rPr>
                <w:rFonts w:hint="eastAsia" w:ascii="宋体" w:hAnsi="宋体" w:eastAsia="宋体" w:cs="宋体"/>
                <w:b w:val="0"/>
                <w:bCs w:val="0"/>
                <w:color w:val="auto"/>
                <w:spacing w:val="0"/>
                <w:w w:val="100"/>
                <w:kern w:val="0"/>
                <w:position w:val="0"/>
                <w:sz w:val="24"/>
                <w:szCs w:val="24"/>
                <w:highlight w:val="none"/>
              </w:rPr>
            </w:pPr>
            <w:r>
              <w:rPr>
                <w:rFonts w:hint="default" w:ascii="宋体" w:hAnsi="宋体" w:eastAsia="宋体" w:cs="宋体"/>
                <w:b/>
                <w:bCs/>
                <w:color w:val="auto"/>
                <w:sz w:val="24"/>
                <w:szCs w:val="24"/>
                <w:highlight w:val="none"/>
                <w:lang w:val="en-US" w:eastAsia="zh-CN"/>
              </w:rPr>
              <w:t>供货方案</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6F01D15F">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投标人针对该项目提供供货方案，</w:t>
            </w:r>
            <w:r>
              <w:rPr>
                <w:rFonts w:hint="eastAsia" w:hAnsi="宋体" w:cs="宋体"/>
                <w:color w:val="auto"/>
                <w:sz w:val="24"/>
                <w:szCs w:val="24"/>
                <w:highlight w:val="none"/>
                <w:lang w:val="en-US" w:eastAsia="zh-CN"/>
              </w:rPr>
              <w:t>方案具有以下几点：</w:t>
            </w:r>
          </w:p>
          <w:p w14:paraId="6AEBC73E">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default" w:ascii="宋体" w:hAnsi="宋体" w:eastAsia="宋体" w:cs="宋体"/>
                <w:color w:val="auto"/>
                <w:sz w:val="24"/>
                <w:szCs w:val="24"/>
                <w:highlight w:val="none"/>
                <w:lang w:val="en-US" w:eastAsia="zh-CN"/>
              </w:rPr>
              <w:t>供货流程与技术方案</w:t>
            </w:r>
          </w:p>
          <w:p w14:paraId="5438CCFC">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default" w:ascii="宋体" w:hAnsi="宋体" w:eastAsia="宋体" w:cs="宋体"/>
                <w:color w:val="auto"/>
                <w:sz w:val="24"/>
                <w:szCs w:val="24"/>
                <w:highlight w:val="none"/>
                <w:lang w:val="en-US" w:eastAsia="zh-CN"/>
              </w:rPr>
              <w:t>供货计划</w:t>
            </w:r>
          </w:p>
          <w:p w14:paraId="1407FEE8">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default" w:ascii="宋体" w:hAnsi="宋体" w:eastAsia="宋体" w:cs="宋体"/>
                <w:color w:val="auto"/>
                <w:sz w:val="24"/>
                <w:szCs w:val="24"/>
                <w:highlight w:val="none"/>
                <w:lang w:val="en-US" w:eastAsia="zh-CN"/>
              </w:rPr>
              <w:t>质量保障</w:t>
            </w:r>
            <w:r>
              <w:rPr>
                <w:rFonts w:hint="eastAsia" w:hAnsi="宋体" w:cs="宋体"/>
                <w:color w:val="auto"/>
                <w:sz w:val="24"/>
                <w:szCs w:val="24"/>
                <w:highlight w:val="none"/>
                <w:lang w:val="en-US" w:eastAsia="zh-CN"/>
              </w:rPr>
              <w:t>方案</w:t>
            </w:r>
          </w:p>
          <w:p w14:paraId="2B63649F">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default" w:ascii="宋体" w:hAnsi="宋体" w:eastAsia="宋体" w:cs="宋体"/>
                <w:color w:val="auto"/>
                <w:sz w:val="24"/>
                <w:szCs w:val="24"/>
                <w:highlight w:val="none"/>
                <w:lang w:val="en-US" w:eastAsia="zh-CN"/>
              </w:rPr>
              <w:t>运输方案</w:t>
            </w:r>
          </w:p>
          <w:p w14:paraId="37603FA3">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default" w:ascii="宋体" w:hAnsi="宋体" w:eastAsia="宋体" w:cs="宋体"/>
                <w:color w:val="auto"/>
                <w:sz w:val="24"/>
                <w:szCs w:val="24"/>
                <w:highlight w:val="none"/>
                <w:lang w:val="en-US" w:eastAsia="zh-CN"/>
              </w:rPr>
              <w:t>应急保障措施</w:t>
            </w:r>
          </w:p>
          <w:p w14:paraId="5DAA4360">
            <w:pPr>
              <w:keepNext w:val="0"/>
              <w:keepLines w:val="0"/>
              <w:pageBreakBefore w:val="0"/>
              <w:overflowPunct/>
              <w:topLinePunct w:val="0"/>
              <w:bidi w:val="0"/>
              <w:snapToGrid w:val="0"/>
              <w:spacing w:line="360" w:lineRule="auto"/>
              <w:rPr>
                <w:rFonts w:hint="eastAsia" w:ascii="宋体" w:hAnsi="宋体" w:cs="宋体"/>
                <w:color w:val="auto"/>
                <w:sz w:val="24"/>
                <w:szCs w:val="24"/>
                <w:highlight w:val="none"/>
                <w:shd w:val="clear" w:color="auto" w:fill="FDFDFE"/>
              </w:rPr>
            </w:pPr>
            <w:r>
              <w:rPr>
                <w:rFonts w:ascii="宋体" w:hAnsi="宋体" w:cs="宋体"/>
                <w:b/>
                <w:bCs/>
                <w:color w:val="auto"/>
                <w:sz w:val="24"/>
                <w:szCs w:val="24"/>
                <w:highlight w:val="none"/>
              </w:rPr>
              <w:t>每提供一小节</w:t>
            </w:r>
            <w:r>
              <w:rPr>
                <w:rFonts w:hint="eastAsia" w:ascii="宋体" w:hAnsi="宋体" w:cs="宋体"/>
                <w:b/>
                <w:bCs/>
                <w:color w:val="auto"/>
                <w:sz w:val="24"/>
                <w:szCs w:val="24"/>
                <w:highlight w:val="none"/>
              </w:rPr>
              <w:t>内容详尽，符合项目需求</w:t>
            </w:r>
            <w:r>
              <w:rPr>
                <w:rFonts w:hint="eastAsia" w:ascii="宋体" w:hAnsi="宋体" w:eastAsia="宋体" w:cs="宋体"/>
                <w:b/>
                <w:bCs/>
                <w:color w:val="auto"/>
                <w:sz w:val="24"/>
                <w:szCs w:val="24"/>
                <w:highlight w:val="none"/>
                <w:lang w:val="en-US" w:eastAsia="zh-CN"/>
              </w:rPr>
              <w:t>的</w:t>
            </w:r>
            <w:r>
              <w:rPr>
                <w:rFonts w:ascii="宋体" w:hAnsi="宋体" w:cs="宋体"/>
                <w:b/>
                <w:bCs/>
                <w:color w:val="auto"/>
                <w:sz w:val="24"/>
                <w:szCs w:val="24"/>
                <w:highlight w:val="none"/>
              </w:rPr>
              <w:t>得</w:t>
            </w:r>
            <w:r>
              <w:rPr>
                <w:rFonts w:hint="eastAsia" w:ascii="宋体" w:hAnsi="宋体" w:cs="宋体"/>
                <w:b/>
                <w:bCs/>
                <w:color w:val="auto"/>
                <w:sz w:val="24"/>
                <w:szCs w:val="24"/>
                <w:highlight w:val="none"/>
                <w:lang w:val="en-US" w:eastAsia="zh-CN"/>
              </w:rPr>
              <w:t>0.5</w:t>
            </w:r>
            <w:r>
              <w:rPr>
                <w:rFonts w:ascii="宋体" w:hAnsi="宋体" w:cs="宋体"/>
                <w:b/>
                <w:bCs/>
                <w:color w:val="auto"/>
                <w:sz w:val="24"/>
                <w:szCs w:val="24"/>
                <w:highlight w:val="none"/>
              </w:rPr>
              <w:t>分，最高得</w:t>
            </w:r>
            <w:r>
              <w:rPr>
                <w:rFonts w:hint="eastAsia" w:ascii="宋体" w:hAnsi="宋体" w:cs="宋体"/>
                <w:b/>
                <w:bCs/>
                <w:color w:val="auto"/>
                <w:sz w:val="24"/>
                <w:szCs w:val="24"/>
                <w:highlight w:val="none"/>
                <w:lang w:val="en-US" w:eastAsia="zh-CN"/>
              </w:rPr>
              <w:t>2.5</w:t>
            </w:r>
            <w:r>
              <w:rPr>
                <w:rFonts w:ascii="宋体" w:hAnsi="宋体" w:cs="宋体"/>
                <w:b/>
                <w:bCs/>
                <w:color w:val="auto"/>
                <w:sz w:val="24"/>
                <w:szCs w:val="24"/>
                <w:highlight w:val="none"/>
              </w:rPr>
              <w:t>分</w:t>
            </w:r>
            <w:r>
              <w:rPr>
                <w:rFonts w:hint="eastAsia" w:ascii="宋体" w:hAnsi="宋体" w:cs="宋体"/>
                <w:b/>
                <w:bCs/>
                <w:color w:val="auto"/>
                <w:sz w:val="24"/>
                <w:szCs w:val="24"/>
                <w:highlight w:val="none"/>
                <w:lang w:eastAsia="zh-CN"/>
              </w:rPr>
              <w:t>。</w:t>
            </w:r>
          </w:p>
          <w:p w14:paraId="5CD9EE08">
            <w:pPr>
              <w:keepNext w:val="0"/>
              <w:keepLines w:val="0"/>
              <w:pageBreakBefore w:val="0"/>
              <w:widowControl/>
              <w:overflowPunct/>
              <w:topLinePunct w:val="0"/>
              <w:bidi w:val="0"/>
              <w:spacing w:line="360" w:lineRule="auto"/>
              <w:jc w:val="left"/>
              <w:rPr>
                <w:rFonts w:hint="eastAsia" w:ascii="宋体" w:hAnsi="宋体" w:cs="宋体"/>
                <w:b/>
                <w:bCs/>
                <w:color w:val="auto"/>
                <w:sz w:val="24"/>
                <w:szCs w:val="24"/>
                <w:highlight w:val="none"/>
              </w:rPr>
            </w:pPr>
            <w:r>
              <w:rPr>
                <w:rFonts w:ascii="宋体" w:hAnsi="宋体" w:cs="宋体"/>
                <w:b/>
                <w:bCs/>
                <w:color w:val="auto"/>
                <w:sz w:val="24"/>
                <w:szCs w:val="24"/>
                <w:highlight w:val="none"/>
              </w:rPr>
              <w:t>注：提供的</w:t>
            </w:r>
            <w:r>
              <w:rPr>
                <w:rFonts w:hint="eastAsia" w:ascii="宋体" w:hAnsi="宋体" w:cs="宋体"/>
                <w:b/>
                <w:bCs/>
                <w:color w:val="auto"/>
                <w:sz w:val="24"/>
                <w:szCs w:val="24"/>
                <w:highlight w:val="none"/>
              </w:rPr>
              <w:t>分析</w:t>
            </w:r>
            <w:r>
              <w:rPr>
                <w:rFonts w:ascii="宋体" w:hAnsi="宋体" w:cs="宋体"/>
                <w:b/>
                <w:bCs/>
                <w:color w:val="auto"/>
                <w:sz w:val="24"/>
                <w:szCs w:val="24"/>
                <w:highlight w:val="none"/>
              </w:rPr>
              <w:t>内容只有标题但缺乏实质性内容、内容与本项目无关或内容明显缺失的</w:t>
            </w:r>
            <w:r>
              <w:rPr>
                <w:rFonts w:hint="eastAsia" w:ascii="宋体" w:hAnsi="宋体" w:cs="宋体"/>
                <w:b/>
                <w:bCs/>
                <w:color w:val="auto"/>
                <w:sz w:val="24"/>
                <w:szCs w:val="24"/>
                <w:highlight w:val="none"/>
                <w:lang w:val="en-US" w:eastAsia="zh-CN"/>
              </w:rPr>
              <w:t>该小节</w:t>
            </w:r>
            <w:r>
              <w:rPr>
                <w:rFonts w:ascii="宋体" w:hAnsi="宋体" w:cs="宋体"/>
                <w:b/>
                <w:bCs/>
                <w:color w:val="auto"/>
                <w:sz w:val="24"/>
                <w:szCs w:val="24"/>
                <w:highlight w:val="none"/>
              </w:rPr>
              <w:t>不得分。</w:t>
            </w:r>
          </w:p>
          <w:p w14:paraId="21E76756">
            <w:pPr>
              <w:pStyle w:val="28"/>
              <w:keepNext w:val="0"/>
              <w:keepLines w:val="0"/>
              <w:pageBreakBefore w:val="0"/>
              <w:numPr>
                <w:ilvl w:val="0"/>
                <w:numId w:val="0"/>
              </w:numPr>
              <w:overflowPunct/>
              <w:topLinePunct w:val="0"/>
              <w:bidi w:val="0"/>
              <w:spacing w:line="360" w:lineRule="auto"/>
              <w:ind w:left="0" w:leftChars="0" w:firstLine="0" w:firstLineChars="0"/>
              <w:rPr>
                <w:rFonts w:hint="eastAsia" w:ascii="宋体" w:hAnsi="宋体" w:eastAsia="宋体" w:cs="宋体"/>
                <w:b w:val="0"/>
                <w:bCs w:val="0"/>
                <w:color w:val="auto"/>
                <w:spacing w:val="0"/>
                <w:w w:val="100"/>
                <w:kern w:val="0"/>
                <w:position w:val="0"/>
                <w:sz w:val="24"/>
                <w:szCs w:val="24"/>
                <w:highlight w:val="none"/>
              </w:rPr>
            </w:pPr>
            <w:r>
              <w:rPr>
                <w:rFonts w:hint="default" w:ascii="宋体" w:hAnsi="宋体" w:eastAsia="宋体" w:cs="宋体"/>
                <w:b/>
                <w:bCs/>
                <w:color w:val="auto"/>
                <w:sz w:val="24"/>
                <w:szCs w:val="24"/>
                <w:highlight w:val="none"/>
                <w:lang w:val="en-US" w:eastAsia="zh-CN"/>
              </w:rPr>
              <w:t>评审依据：依据投标人提供的供货方案进行评审，未提供不得分。</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566186FB">
            <w:pPr>
              <w:pStyle w:val="30"/>
              <w:keepNext w:val="0"/>
              <w:keepLines w:val="0"/>
              <w:pageBreakBefore w:val="0"/>
              <w:kinsoku/>
              <w:wordWrap/>
              <w:overflowPunct/>
              <w:topLinePunct w:val="0"/>
              <w:bidi w:val="0"/>
              <w:snapToGrid/>
              <w:spacing w:line="360" w:lineRule="auto"/>
              <w:jc w:val="center"/>
              <w:outlineLvl w:val="9"/>
              <w:rPr>
                <w:rFonts w:hint="eastAsia" w:ascii="宋体" w:hAnsi="宋体" w:eastAsia="宋体" w:cs="宋体"/>
                <w:b w:val="0"/>
                <w:bCs w:val="0"/>
                <w:color w:val="auto"/>
                <w:spacing w:val="0"/>
                <w:w w:val="100"/>
                <w:kern w:val="0"/>
                <w:position w:val="0"/>
                <w:sz w:val="24"/>
                <w:szCs w:val="24"/>
                <w:highlight w:val="none"/>
              </w:rPr>
            </w:pPr>
            <w:r>
              <w:rPr>
                <w:rFonts w:hint="eastAsia" w:asciiTheme="minorEastAsia" w:hAnsiTheme="minorEastAsia" w:eastAsiaTheme="minorEastAsia" w:cstheme="minorEastAsia"/>
                <w:color w:val="auto"/>
                <w:kern w:val="2"/>
                <w:sz w:val="24"/>
                <w:szCs w:val="24"/>
                <w:highlight w:val="none"/>
                <w:lang w:val="en-US" w:eastAsia="zh-CN"/>
              </w:rPr>
              <w:t>2.5分</w:t>
            </w:r>
          </w:p>
        </w:tc>
      </w:tr>
      <w:tr w14:paraId="02564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02A8D668">
            <w:pPr>
              <w:pStyle w:val="24"/>
              <w:keepNext w:val="0"/>
              <w:keepLines w:val="0"/>
              <w:pageBreakBefore w:val="0"/>
              <w:numPr>
                <w:ilvl w:val="0"/>
                <w:numId w:val="0"/>
              </w:numPr>
              <w:overflowPunct/>
              <w:topLinePunct w:val="0"/>
              <w:bidi w:val="0"/>
              <w:spacing w:line="36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售后服务方案</w:t>
            </w:r>
          </w:p>
        </w:tc>
        <w:tc>
          <w:tcPr>
            <w:tcW w:w="7636" w:type="dxa"/>
            <w:tcBorders>
              <w:top w:val="single" w:color="auto" w:sz="4" w:space="0"/>
              <w:left w:val="single" w:color="auto" w:sz="4" w:space="0"/>
              <w:bottom w:val="single" w:color="auto" w:sz="4" w:space="0"/>
              <w:right w:val="single" w:color="auto" w:sz="4" w:space="0"/>
            </w:tcBorders>
            <w:noWrap w:val="0"/>
            <w:vAlign w:val="top"/>
          </w:tcPr>
          <w:p w14:paraId="47F09C25">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投标人针对该项目提供</w:t>
            </w:r>
            <w:r>
              <w:rPr>
                <w:rFonts w:hint="eastAsia" w:ascii="宋体" w:hAnsi="宋体" w:eastAsia="宋体" w:cs="宋体"/>
                <w:color w:val="auto"/>
                <w:sz w:val="24"/>
                <w:szCs w:val="24"/>
                <w:highlight w:val="none"/>
                <w:lang w:val="en-US" w:eastAsia="zh-CN"/>
              </w:rPr>
              <w:t>售后服务</w:t>
            </w:r>
            <w:r>
              <w:rPr>
                <w:rFonts w:hint="default" w:ascii="宋体" w:hAnsi="宋体" w:eastAsia="宋体" w:cs="宋体"/>
                <w:color w:val="auto"/>
                <w:sz w:val="24"/>
                <w:szCs w:val="24"/>
                <w:highlight w:val="none"/>
                <w:lang w:val="en-US" w:eastAsia="zh-CN"/>
              </w:rPr>
              <w:t>方案，</w:t>
            </w:r>
            <w:r>
              <w:rPr>
                <w:rFonts w:hint="eastAsia" w:ascii="宋体" w:hAnsi="宋体" w:eastAsia="宋体" w:cs="宋体"/>
                <w:color w:val="auto"/>
                <w:sz w:val="24"/>
                <w:szCs w:val="24"/>
                <w:highlight w:val="none"/>
                <w:lang w:val="en-US" w:eastAsia="zh-CN"/>
              </w:rPr>
              <w:t>方案具有以下几点：</w:t>
            </w:r>
          </w:p>
          <w:p w14:paraId="10A957D7">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1、服务组织架构与资源保障</w:t>
            </w:r>
          </w:p>
          <w:p w14:paraId="79818D77">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2、服务工作内容</w:t>
            </w:r>
          </w:p>
          <w:p w14:paraId="55C437C8">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3、服务质量标准与保障措施</w:t>
            </w:r>
          </w:p>
          <w:p w14:paraId="01B7CAAF">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4、技术培训方案</w:t>
            </w:r>
          </w:p>
          <w:p w14:paraId="66BFC1B4">
            <w:pPr>
              <w:pStyle w:val="28"/>
              <w:keepNext w:val="0"/>
              <w:keepLines w:val="0"/>
              <w:pageBreakBefore w:val="0"/>
              <w:numPr>
                <w:ilvl w:val="0"/>
                <w:numId w:val="0"/>
              </w:numPr>
              <w:overflowPunct/>
              <w:topLinePunct w:val="0"/>
              <w:bidi w:val="0"/>
              <w:spacing w:line="36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5、备件供应保障</w:t>
            </w:r>
          </w:p>
          <w:p w14:paraId="55FA5BA7">
            <w:pPr>
              <w:keepNext w:val="0"/>
              <w:keepLines w:val="0"/>
              <w:pageBreakBefore w:val="0"/>
              <w:overflowPunct/>
              <w:topLinePunct w:val="0"/>
              <w:bidi w:val="0"/>
              <w:snapToGrid w:val="0"/>
              <w:spacing w:line="360" w:lineRule="auto"/>
              <w:rPr>
                <w:rFonts w:hint="eastAsia" w:ascii="宋体" w:hAnsi="宋体" w:cs="宋体"/>
                <w:color w:val="auto"/>
                <w:sz w:val="24"/>
                <w:szCs w:val="24"/>
                <w:highlight w:val="none"/>
                <w:shd w:val="clear" w:color="auto" w:fill="FDFDFE"/>
              </w:rPr>
            </w:pPr>
            <w:r>
              <w:rPr>
                <w:rFonts w:ascii="宋体" w:hAnsi="宋体" w:cs="宋体"/>
                <w:b/>
                <w:bCs/>
                <w:color w:val="auto"/>
                <w:sz w:val="24"/>
                <w:szCs w:val="24"/>
                <w:highlight w:val="none"/>
              </w:rPr>
              <w:t>每提供一小节</w:t>
            </w:r>
            <w:r>
              <w:rPr>
                <w:rFonts w:hint="eastAsia" w:ascii="宋体" w:hAnsi="宋体" w:cs="宋体"/>
                <w:b/>
                <w:bCs/>
                <w:color w:val="auto"/>
                <w:sz w:val="24"/>
                <w:szCs w:val="24"/>
                <w:highlight w:val="none"/>
              </w:rPr>
              <w:t>内容详尽，符合项目需求</w:t>
            </w:r>
            <w:r>
              <w:rPr>
                <w:rFonts w:hint="eastAsia" w:ascii="宋体" w:hAnsi="宋体" w:eastAsia="宋体" w:cs="宋体"/>
                <w:b/>
                <w:bCs/>
                <w:color w:val="auto"/>
                <w:sz w:val="24"/>
                <w:szCs w:val="24"/>
                <w:highlight w:val="none"/>
                <w:lang w:val="en-US" w:eastAsia="zh-CN"/>
              </w:rPr>
              <w:t>的</w:t>
            </w:r>
            <w:r>
              <w:rPr>
                <w:rFonts w:ascii="宋体" w:hAnsi="宋体" w:cs="宋体"/>
                <w:b/>
                <w:bCs/>
                <w:color w:val="auto"/>
                <w:sz w:val="24"/>
                <w:szCs w:val="24"/>
                <w:highlight w:val="none"/>
              </w:rPr>
              <w:t>得</w:t>
            </w:r>
            <w:r>
              <w:rPr>
                <w:rFonts w:hint="eastAsia" w:ascii="宋体" w:hAnsi="宋体" w:cs="宋体"/>
                <w:b/>
                <w:bCs/>
                <w:color w:val="auto"/>
                <w:sz w:val="24"/>
                <w:szCs w:val="24"/>
                <w:highlight w:val="none"/>
                <w:lang w:val="en-US" w:eastAsia="zh-CN"/>
              </w:rPr>
              <w:t>0.5</w:t>
            </w:r>
            <w:r>
              <w:rPr>
                <w:rFonts w:ascii="宋体" w:hAnsi="宋体" w:cs="宋体"/>
                <w:b/>
                <w:bCs/>
                <w:color w:val="auto"/>
                <w:sz w:val="24"/>
                <w:szCs w:val="24"/>
                <w:highlight w:val="none"/>
              </w:rPr>
              <w:t>分，最高得</w:t>
            </w:r>
            <w:r>
              <w:rPr>
                <w:rFonts w:hint="eastAsia" w:ascii="宋体" w:hAnsi="宋体" w:cs="宋体"/>
                <w:b/>
                <w:bCs/>
                <w:color w:val="auto"/>
                <w:sz w:val="24"/>
                <w:szCs w:val="24"/>
                <w:highlight w:val="none"/>
                <w:lang w:val="en-US" w:eastAsia="zh-CN"/>
              </w:rPr>
              <w:t>2.5</w:t>
            </w:r>
            <w:r>
              <w:rPr>
                <w:rFonts w:ascii="宋体" w:hAnsi="宋体" w:cs="宋体"/>
                <w:b/>
                <w:bCs/>
                <w:color w:val="auto"/>
                <w:sz w:val="24"/>
                <w:szCs w:val="24"/>
                <w:highlight w:val="none"/>
              </w:rPr>
              <w:t>分</w:t>
            </w:r>
            <w:r>
              <w:rPr>
                <w:rFonts w:hint="eastAsia" w:ascii="宋体" w:hAnsi="宋体" w:cs="宋体"/>
                <w:b/>
                <w:bCs/>
                <w:color w:val="auto"/>
                <w:sz w:val="24"/>
                <w:szCs w:val="24"/>
                <w:highlight w:val="none"/>
                <w:lang w:eastAsia="zh-CN"/>
              </w:rPr>
              <w:t>。</w:t>
            </w:r>
          </w:p>
          <w:p w14:paraId="5F278262">
            <w:pPr>
              <w:keepNext w:val="0"/>
              <w:keepLines w:val="0"/>
              <w:pageBreakBefore w:val="0"/>
              <w:widowControl/>
              <w:overflowPunct/>
              <w:topLinePunct w:val="0"/>
              <w:bidi w:val="0"/>
              <w:spacing w:line="360" w:lineRule="auto"/>
              <w:jc w:val="left"/>
              <w:rPr>
                <w:rFonts w:hint="eastAsia" w:ascii="宋体" w:hAnsi="宋体" w:cs="宋体"/>
                <w:b/>
                <w:bCs/>
                <w:color w:val="auto"/>
                <w:sz w:val="24"/>
                <w:szCs w:val="24"/>
                <w:highlight w:val="none"/>
              </w:rPr>
            </w:pPr>
            <w:r>
              <w:rPr>
                <w:rFonts w:ascii="宋体" w:hAnsi="宋体" w:cs="宋体"/>
                <w:b/>
                <w:bCs/>
                <w:color w:val="auto"/>
                <w:sz w:val="24"/>
                <w:szCs w:val="24"/>
                <w:highlight w:val="none"/>
              </w:rPr>
              <w:t>注：提供的</w:t>
            </w:r>
            <w:r>
              <w:rPr>
                <w:rFonts w:hint="eastAsia" w:ascii="宋体" w:hAnsi="宋体" w:cs="宋体"/>
                <w:b/>
                <w:bCs/>
                <w:color w:val="auto"/>
                <w:sz w:val="24"/>
                <w:szCs w:val="24"/>
                <w:highlight w:val="none"/>
              </w:rPr>
              <w:t>分析</w:t>
            </w:r>
            <w:r>
              <w:rPr>
                <w:rFonts w:ascii="宋体" w:hAnsi="宋体" w:cs="宋体"/>
                <w:b/>
                <w:bCs/>
                <w:color w:val="auto"/>
                <w:sz w:val="24"/>
                <w:szCs w:val="24"/>
                <w:highlight w:val="none"/>
              </w:rPr>
              <w:t>内容只有标题但缺乏实质性内容、内容与本项目无关或内容明显缺失的</w:t>
            </w:r>
            <w:r>
              <w:rPr>
                <w:rFonts w:hint="eastAsia" w:ascii="宋体" w:hAnsi="宋体" w:cs="宋体"/>
                <w:b/>
                <w:bCs/>
                <w:color w:val="auto"/>
                <w:sz w:val="24"/>
                <w:szCs w:val="24"/>
                <w:highlight w:val="none"/>
                <w:lang w:val="en-US" w:eastAsia="zh-CN"/>
              </w:rPr>
              <w:t>该小节</w:t>
            </w:r>
            <w:r>
              <w:rPr>
                <w:rFonts w:ascii="宋体" w:hAnsi="宋体" w:cs="宋体"/>
                <w:b/>
                <w:bCs/>
                <w:color w:val="auto"/>
                <w:sz w:val="24"/>
                <w:szCs w:val="24"/>
                <w:highlight w:val="none"/>
              </w:rPr>
              <w:t>不得分。</w:t>
            </w:r>
          </w:p>
          <w:p w14:paraId="3235AC39">
            <w:pPr>
              <w:pStyle w:val="28"/>
              <w:keepNext w:val="0"/>
              <w:keepLines w:val="0"/>
              <w:pageBreakBefore w:val="0"/>
              <w:numPr>
                <w:ilvl w:val="0"/>
                <w:numId w:val="0"/>
              </w:numPr>
              <w:overflowPunct/>
              <w:topLinePunct w:val="0"/>
              <w:bidi w:val="0"/>
              <w:spacing w:line="360" w:lineRule="auto"/>
              <w:ind w:left="0" w:leftChars="0" w:firstLine="0" w:firstLineChars="0"/>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z w:val="24"/>
                <w:szCs w:val="24"/>
                <w:highlight w:val="none"/>
                <w:lang w:val="en-US" w:eastAsia="zh-CN"/>
              </w:rPr>
              <w:t>评审依据：依据投标人提供的售后服务方案进行评审，未提供不得分。</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FB3C4EF">
            <w:pPr>
              <w:pStyle w:val="30"/>
              <w:keepNext w:val="0"/>
              <w:keepLines w:val="0"/>
              <w:pageBreakBefore w:val="0"/>
              <w:kinsoku/>
              <w:wordWrap/>
              <w:overflowPunct/>
              <w:topLinePunct w:val="0"/>
              <w:bidi w:val="0"/>
              <w:snapToGrid/>
              <w:spacing w:line="360" w:lineRule="auto"/>
              <w:jc w:val="center"/>
              <w:outlineLvl w:val="9"/>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val="0"/>
                <w:bCs w:val="0"/>
                <w:color w:val="auto"/>
                <w:spacing w:val="0"/>
                <w:w w:val="100"/>
                <w:kern w:val="0"/>
                <w:position w:val="0"/>
                <w:sz w:val="24"/>
                <w:szCs w:val="24"/>
                <w:highlight w:val="none"/>
                <w:lang w:val="en-US" w:eastAsia="zh-CN"/>
              </w:rPr>
              <w:t>2.5分</w:t>
            </w:r>
          </w:p>
        </w:tc>
      </w:tr>
      <w:tr w14:paraId="2A6C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3F94B4A">
            <w:pPr>
              <w:pStyle w:val="24"/>
              <w:keepNext w:val="0"/>
              <w:keepLines w:val="0"/>
              <w:pageBreakBefore w:val="0"/>
              <w:numPr>
                <w:ilvl w:val="0"/>
                <w:numId w:val="0"/>
              </w:numPr>
              <w:overflowPunct/>
              <w:topLinePunct w:val="0"/>
              <w:bidi w:val="0"/>
              <w:spacing w:line="360" w:lineRule="auto"/>
              <w:ind w:left="0" w:lef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zh-CN" w:eastAsia="zh-CN"/>
              </w:rPr>
              <w:t>体系认证</w:t>
            </w:r>
          </w:p>
        </w:tc>
        <w:tc>
          <w:tcPr>
            <w:tcW w:w="763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22739A">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核心产品制造商具备：</w:t>
            </w:r>
          </w:p>
          <w:p w14:paraId="50C14B9C">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质量管理体系认证（ISO9001）</w:t>
            </w:r>
          </w:p>
          <w:p w14:paraId="1FDF9502">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环境管理体系认证（ISO14001）</w:t>
            </w:r>
          </w:p>
          <w:p w14:paraId="1751A679">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职业健康安全管理体系认证（ISO45001）</w:t>
            </w:r>
          </w:p>
          <w:p w14:paraId="350C525D">
            <w:pPr>
              <w:pStyle w:val="28"/>
              <w:keepNext w:val="0"/>
              <w:keepLines w:val="0"/>
              <w:pageBreakBefore w:val="0"/>
              <w:numPr>
                <w:ilvl w:val="0"/>
                <w:numId w:val="0"/>
              </w:numPr>
              <w:wordWrap/>
              <w:overflowPunct/>
              <w:topLinePunct w:val="0"/>
              <w:bidi w:val="0"/>
              <w:spacing w:line="360" w:lineRule="auto"/>
              <w:ind w:left="0" w:leftChars="0" w:right="0" w:righ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每提供一个有效期内的认证证书得1分，最高3分。</w:t>
            </w:r>
          </w:p>
          <w:p w14:paraId="6E702F75">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评审依据：证书扫描件加盖投标人公章，未提供不得分。</w:t>
            </w:r>
          </w:p>
        </w:tc>
        <w:tc>
          <w:tcPr>
            <w:tcW w:w="93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3BED10">
            <w:pPr>
              <w:pStyle w:val="30"/>
              <w:keepNext w:val="0"/>
              <w:keepLines w:val="0"/>
              <w:pageBreakBefore w:val="0"/>
              <w:kinsoku/>
              <w:wordWrap/>
              <w:overflowPunct/>
              <w:topLinePunct w:val="0"/>
              <w:bidi w:val="0"/>
              <w:snapToGrid/>
              <w:spacing w:line="360" w:lineRule="auto"/>
              <w:jc w:val="center"/>
              <w:outlineLvl w:val="9"/>
              <w:rPr>
                <w:rFonts w:hint="eastAsia" w:ascii="宋体" w:hAnsi="宋体" w:eastAsia="宋体" w:cs="宋体"/>
                <w:b w:val="0"/>
                <w:bCs w:val="0"/>
                <w:color w:val="auto"/>
                <w:spacing w:val="0"/>
                <w:w w:val="100"/>
                <w:kern w:val="0"/>
                <w:position w:val="0"/>
                <w:sz w:val="24"/>
                <w:szCs w:val="24"/>
                <w:highlight w:val="none"/>
                <w:lang w:val="en-US" w:eastAsia="zh-CN"/>
              </w:rPr>
            </w:pPr>
            <w:r>
              <w:rPr>
                <w:rFonts w:hint="eastAsia" w:ascii="宋体" w:hAnsi="宋体" w:cs="宋体"/>
                <w:b w:val="0"/>
                <w:bCs w:val="0"/>
                <w:color w:val="auto"/>
                <w:spacing w:val="0"/>
                <w:w w:val="100"/>
                <w:kern w:val="0"/>
                <w:position w:val="0"/>
                <w:sz w:val="24"/>
                <w:szCs w:val="24"/>
                <w:highlight w:val="none"/>
                <w:lang w:val="en-US" w:eastAsia="zh-CN"/>
              </w:rPr>
              <w:t>3</w:t>
            </w:r>
            <w:r>
              <w:rPr>
                <w:rFonts w:hint="eastAsia" w:ascii="宋体" w:hAnsi="宋体" w:eastAsia="宋体" w:cs="宋体"/>
                <w:b w:val="0"/>
                <w:bCs w:val="0"/>
                <w:color w:val="auto"/>
                <w:spacing w:val="0"/>
                <w:w w:val="100"/>
                <w:kern w:val="0"/>
                <w:position w:val="0"/>
                <w:sz w:val="24"/>
                <w:szCs w:val="24"/>
                <w:highlight w:val="none"/>
              </w:rPr>
              <w:t>分</w:t>
            </w:r>
          </w:p>
        </w:tc>
      </w:tr>
      <w:tr w14:paraId="20E7B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9578" w:type="dxa"/>
            <w:gridSpan w:val="3"/>
            <w:tcBorders>
              <w:top w:val="single" w:color="auto" w:sz="4" w:space="0"/>
              <w:left w:val="single" w:color="auto" w:sz="4" w:space="0"/>
              <w:bottom w:val="single" w:color="auto" w:sz="4" w:space="0"/>
              <w:right w:val="single" w:color="auto" w:sz="4" w:space="0"/>
            </w:tcBorders>
            <w:noWrap w:val="0"/>
            <w:vAlign w:val="center"/>
          </w:tcPr>
          <w:p w14:paraId="062898D1">
            <w:pPr>
              <w:keepNext w:val="0"/>
              <w:keepLines w:val="0"/>
              <w:pageBreakBefore w:val="0"/>
              <w:widowControl w:val="0"/>
              <w:wordWrap/>
              <w:overflowPunct/>
              <w:topLinePunct w:val="0"/>
              <w:bidi w:val="0"/>
              <w:spacing w:line="360" w:lineRule="auto"/>
              <w:jc w:val="center"/>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（三）商务部分（</w:t>
            </w:r>
            <w:r>
              <w:rPr>
                <w:rFonts w:hint="eastAsia" w:ascii="宋体" w:hAnsi="宋体" w:eastAsia="宋体" w:cs="宋体"/>
                <w:b/>
                <w:bCs/>
                <w:color w:val="auto"/>
                <w:spacing w:val="0"/>
                <w:w w:val="100"/>
                <w:kern w:val="0"/>
                <w:position w:val="0"/>
                <w:sz w:val="24"/>
                <w:szCs w:val="24"/>
                <w:highlight w:val="none"/>
                <w:lang w:val="en-US" w:eastAsia="zh-CN"/>
              </w:rPr>
              <w:t>11</w:t>
            </w:r>
            <w:r>
              <w:rPr>
                <w:rFonts w:hint="eastAsia" w:ascii="宋体" w:hAnsi="宋体" w:eastAsia="宋体" w:cs="宋体"/>
                <w:b/>
                <w:bCs/>
                <w:color w:val="auto"/>
                <w:spacing w:val="0"/>
                <w:w w:val="100"/>
                <w:kern w:val="0"/>
                <w:position w:val="0"/>
                <w:sz w:val="24"/>
                <w:szCs w:val="24"/>
                <w:highlight w:val="none"/>
              </w:rPr>
              <w:t>分）</w:t>
            </w:r>
          </w:p>
        </w:tc>
      </w:tr>
      <w:tr w14:paraId="1FEE0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0E964E23">
            <w:pPr>
              <w:keepNext w:val="0"/>
              <w:keepLines w:val="0"/>
              <w:pageBreakBefore w:val="0"/>
              <w:widowControl w:val="0"/>
              <w:wordWrap/>
              <w:overflowPunct/>
              <w:topLinePunct w:val="0"/>
              <w:bidi w:val="0"/>
              <w:spacing w:line="36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评分点</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2DA6ACAE">
            <w:pPr>
              <w:keepNext w:val="0"/>
              <w:keepLines w:val="0"/>
              <w:pageBreakBefore w:val="0"/>
              <w:widowControl w:val="0"/>
              <w:wordWrap/>
              <w:overflowPunct/>
              <w:topLinePunct w:val="0"/>
              <w:bidi w:val="0"/>
              <w:spacing w:line="36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评审内容</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7C169E6">
            <w:pPr>
              <w:keepNext w:val="0"/>
              <w:keepLines w:val="0"/>
              <w:pageBreakBefore w:val="0"/>
              <w:widowControl w:val="0"/>
              <w:wordWrap/>
              <w:overflowPunct/>
              <w:topLinePunct w:val="0"/>
              <w:bidi w:val="0"/>
              <w:spacing w:line="360" w:lineRule="auto"/>
              <w:jc w:val="center"/>
              <w:rPr>
                <w:rFonts w:hint="eastAsia" w:ascii="宋体" w:hAnsi="宋体" w:eastAsia="宋体" w:cs="宋体"/>
                <w:b/>
                <w:bCs/>
                <w:color w:val="auto"/>
                <w:spacing w:val="0"/>
                <w:w w:val="100"/>
                <w:kern w:val="0"/>
                <w:position w:val="0"/>
                <w:sz w:val="24"/>
                <w:szCs w:val="24"/>
                <w:highlight w:val="none"/>
              </w:rPr>
            </w:pPr>
            <w:r>
              <w:rPr>
                <w:rFonts w:hint="eastAsia" w:ascii="宋体" w:hAnsi="宋体" w:eastAsia="宋体" w:cs="宋体"/>
                <w:b/>
                <w:bCs/>
                <w:color w:val="auto"/>
                <w:spacing w:val="0"/>
                <w:w w:val="100"/>
                <w:kern w:val="0"/>
                <w:position w:val="0"/>
                <w:sz w:val="24"/>
                <w:szCs w:val="24"/>
                <w:highlight w:val="none"/>
              </w:rPr>
              <w:t>分值</w:t>
            </w:r>
          </w:p>
        </w:tc>
      </w:tr>
      <w:tr w14:paraId="0E00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38DEF7D0">
            <w:pPr>
              <w:keepNext w:val="0"/>
              <w:keepLines w:val="0"/>
              <w:pageBreakBefore w:val="0"/>
              <w:widowControl w:val="0"/>
              <w:wordWrap/>
              <w:overflowPunct/>
              <w:topLinePunct w:val="0"/>
              <w:bidi w:val="0"/>
              <w:snapToGrid w:val="0"/>
              <w:spacing w:line="360" w:lineRule="auto"/>
              <w:ind w:firstLine="0" w:firstLineChars="0"/>
              <w:jc w:val="center"/>
              <w:rPr>
                <w:rFonts w:hint="eastAsia" w:ascii="宋体" w:hAnsi="宋体" w:eastAsia="宋体" w:cs="宋体"/>
                <w:b/>
                <w:bCs/>
                <w:color w:val="auto"/>
                <w:spacing w:val="0"/>
                <w:w w:val="100"/>
                <w:position w:val="0"/>
                <w:sz w:val="24"/>
                <w:szCs w:val="24"/>
                <w:highlight w:val="none"/>
              </w:rPr>
            </w:pPr>
            <w:r>
              <w:rPr>
                <w:rFonts w:hint="eastAsia" w:ascii="宋体" w:hAnsi="宋体" w:eastAsia="宋体" w:cs="宋体"/>
                <w:b/>
                <w:bCs/>
                <w:color w:val="auto"/>
                <w:spacing w:val="0"/>
                <w:w w:val="100"/>
                <w:position w:val="0"/>
                <w:sz w:val="24"/>
                <w:szCs w:val="24"/>
                <w:highlight w:val="none"/>
              </w:rPr>
              <w:t>商务</w:t>
            </w:r>
          </w:p>
          <w:p w14:paraId="4371D656">
            <w:pPr>
              <w:keepNext w:val="0"/>
              <w:keepLines w:val="0"/>
              <w:pageBreakBefore w:val="0"/>
              <w:widowControl w:val="0"/>
              <w:wordWrap/>
              <w:overflowPunct/>
              <w:topLinePunct w:val="0"/>
              <w:bidi w:val="0"/>
              <w:snapToGrid w:val="0"/>
              <w:spacing w:line="360" w:lineRule="auto"/>
              <w:ind w:firstLine="0" w:firstLineChars="0"/>
              <w:jc w:val="center"/>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pacing w:val="0"/>
                <w:w w:val="100"/>
                <w:position w:val="0"/>
                <w:sz w:val="24"/>
                <w:szCs w:val="24"/>
                <w:highlight w:val="none"/>
              </w:rPr>
              <w:t>条款</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3DADCDCD">
            <w:pPr>
              <w:keepNext w:val="0"/>
              <w:keepLines w:val="0"/>
              <w:pageBreakBefore w:val="0"/>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投标人全部</w:t>
            </w:r>
            <w:r>
              <w:rPr>
                <w:rFonts w:hint="eastAsia" w:ascii="宋体" w:hAnsi="宋体" w:eastAsia="宋体" w:cs="宋体"/>
                <w:color w:val="auto"/>
                <w:sz w:val="24"/>
                <w:szCs w:val="24"/>
                <w:highlight w:val="none"/>
              </w:rPr>
              <w:t>满足</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eastAsia="zh-CN"/>
              </w:rPr>
              <w:t>第五部分</w:t>
            </w:r>
            <w:r>
              <w:rPr>
                <w:rFonts w:hint="eastAsia" w:ascii="宋体" w:hAnsi="宋体" w:eastAsia="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lang w:eastAsia="zh-CN"/>
              </w:rPr>
              <w:t>项目清单及技术要求、</w:t>
            </w:r>
            <w:r>
              <w:rPr>
                <w:rFonts w:hint="eastAsia" w:ascii="宋体" w:hAnsi="宋体" w:eastAsia="宋体" w:cs="宋体"/>
                <w:b/>
                <w:bCs/>
                <w:color w:val="auto"/>
                <w:sz w:val="24"/>
                <w:szCs w:val="24"/>
                <w:highlight w:val="none"/>
              </w:rPr>
              <w:t>商务条款</w:t>
            </w:r>
            <w:r>
              <w:rPr>
                <w:rFonts w:hint="eastAsia" w:ascii="宋体" w:hAnsi="宋体" w:eastAsia="宋体" w:cs="宋体"/>
                <w:b/>
                <w:bCs/>
                <w:color w:val="auto"/>
                <w:sz w:val="24"/>
                <w:szCs w:val="24"/>
                <w:highlight w:val="none"/>
                <w:lang w:val="en-US" w:eastAsia="zh-CN"/>
              </w:rPr>
              <w:t xml:space="preserve"> </w:t>
            </w: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商务条款</w:t>
            </w:r>
            <w:r>
              <w:rPr>
                <w:rFonts w:hint="eastAsia" w:ascii="宋体" w:hAnsi="宋体" w:eastAsia="宋体" w:cs="宋体"/>
                <w:b/>
                <w:bCs/>
                <w:color w:val="auto"/>
                <w:sz w:val="24"/>
                <w:szCs w:val="24"/>
                <w:highlight w:val="none"/>
                <w:lang w:val="en-US" w:eastAsia="zh-CN"/>
              </w:rPr>
              <w:t>”</w:t>
            </w:r>
            <w:r>
              <w:rPr>
                <w:rFonts w:hint="eastAsia" w:ascii="宋体" w:hAnsi="宋体" w:cs="宋体"/>
                <w:b/>
                <w:bCs/>
                <w:color w:val="auto"/>
                <w:sz w:val="24"/>
                <w:szCs w:val="24"/>
                <w:highlight w:val="none"/>
                <w:lang w:val="en-US" w:eastAsia="zh-CN"/>
              </w:rPr>
              <w:t>，</w:t>
            </w:r>
            <w:r>
              <w:rPr>
                <w:rFonts w:hint="eastAsia" w:hAnsi="宋体" w:cs="宋体"/>
                <w:color w:val="auto"/>
                <w:sz w:val="24"/>
                <w:szCs w:val="24"/>
                <w:highlight w:val="none"/>
                <w:lang w:val="en-US" w:eastAsia="zh-CN"/>
              </w:rPr>
              <w:t>有</w:t>
            </w:r>
            <w:r>
              <w:rPr>
                <w:rFonts w:hint="eastAsia" w:ascii="宋体" w:hAnsi="宋体" w:eastAsia="宋体" w:cs="宋体"/>
                <w:color w:val="auto"/>
                <w:sz w:val="24"/>
                <w:szCs w:val="24"/>
                <w:highlight w:val="none"/>
              </w:rPr>
              <w:t>任意一项不满足</w:t>
            </w:r>
            <w:r>
              <w:rPr>
                <w:rFonts w:hint="eastAsia" w:ascii="宋体" w:hAnsi="宋体" w:eastAsia="宋体" w:cs="宋体"/>
                <w:color w:val="auto"/>
                <w:sz w:val="24"/>
                <w:szCs w:val="24"/>
                <w:highlight w:val="none"/>
                <w:lang w:val="en-US" w:eastAsia="zh-CN"/>
              </w:rPr>
              <w:t>或负偏离</w:t>
            </w:r>
            <w:r>
              <w:rPr>
                <w:rFonts w:hint="eastAsia" w:ascii="宋体" w:hAnsi="宋体" w:eastAsia="宋体" w:cs="宋体"/>
                <w:color w:val="auto"/>
                <w:sz w:val="24"/>
                <w:szCs w:val="24"/>
                <w:highlight w:val="none"/>
              </w:rPr>
              <w:t>的作无效</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处理。</w:t>
            </w:r>
          </w:p>
          <w:p w14:paraId="611BF505">
            <w:pPr>
              <w:keepNext w:val="0"/>
              <w:keepLines w:val="0"/>
              <w:pageBreakBefore w:val="0"/>
              <w:widowControl w:val="0"/>
              <w:wordWrap/>
              <w:overflowPunct/>
              <w:topLinePunct w:val="0"/>
              <w:bidi w:val="0"/>
              <w:spacing w:line="360" w:lineRule="auto"/>
              <w:ind w:firstLine="0" w:firstLineChars="0"/>
              <w:jc w:val="both"/>
              <w:rPr>
                <w:rFonts w:hint="eastAsia" w:ascii="宋体" w:hAnsi="宋体" w:eastAsia="宋体" w:cs="宋体"/>
                <w:b w:val="0"/>
                <w:bCs w:val="0"/>
                <w:color w:val="auto"/>
                <w:spacing w:val="0"/>
                <w:w w:val="100"/>
                <w:kern w:val="0"/>
                <w:position w:val="0"/>
                <w:sz w:val="24"/>
                <w:szCs w:val="24"/>
                <w:highlight w:val="none"/>
              </w:rPr>
            </w:pPr>
            <w:r>
              <w:rPr>
                <w:rFonts w:hint="eastAsia" w:ascii="宋体" w:eastAsia="宋体" w:cs="宋体"/>
                <w:b/>
                <w:bCs/>
                <w:color w:val="auto"/>
                <w:sz w:val="24"/>
                <w:szCs w:val="24"/>
                <w:highlight w:val="none"/>
                <w:lang w:val="en-US" w:eastAsia="zh-CN"/>
              </w:rPr>
              <w:t>评审</w:t>
            </w:r>
            <w:r>
              <w:rPr>
                <w:rFonts w:hint="eastAsia" w:ascii="宋体" w:hAnsi="宋体" w:eastAsia="宋体" w:cs="宋体"/>
                <w:b/>
                <w:bCs/>
                <w:color w:val="auto"/>
                <w:sz w:val="24"/>
                <w:szCs w:val="24"/>
                <w:highlight w:val="none"/>
              </w:rPr>
              <w:t>依据：</w:t>
            </w:r>
            <w:r>
              <w:rPr>
                <w:rFonts w:hint="eastAsia" w:ascii="宋体" w:hAnsi="宋体" w:eastAsia="宋体" w:cs="宋体"/>
                <w:b/>
                <w:bCs/>
                <w:color w:val="auto"/>
                <w:sz w:val="24"/>
                <w:szCs w:val="24"/>
                <w:highlight w:val="none"/>
                <w:lang w:val="en-US" w:eastAsia="zh-CN"/>
              </w:rPr>
              <w:t>投标文件中提供商务需求响应/偏离表。</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67D1250">
            <w:pPr>
              <w:keepNext w:val="0"/>
              <w:keepLines w:val="0"/>
              <w:pageBreakBefore w:val="0"/>
              <w:widowControl w:val="0"/>
              <w:wordWrap/>
              <w:overflowPunct/>
              <w:topLinePunct w:val="0"/>
              <w:bidi w:val="0"/>
              <w:spacing w:line="360" w:lineRule="auto"/>
              <w:jc w:val="center"/>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val="0"/>
                <w:bCs w:val="0"/>
                <w:color w:val="auto"/>
                <w:spacing w:val="0"/>
                <w:w w:val="100"/>
                <w:position w:val="0"/>
                <w:sz w:val="24"/>
                <w:szCs w:val="24"/>
                <w:highlight w:val="none"/>
              </w:rPr>
              <w:t>符合性审查</w:t>
            </w:r>
          </w:p>
        </w:tc>
      </w:tr>
      <w:tr w14:paraId="1956D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15383029">
            <w:pPr>
              <w:keepNext w:val="0"/>
              <w:keepLines w:val="0"/>
              <w:pageBreakBefore w:val="0"/>
              <w:widowControl/>
              <w:kinsoku/>
              <w:wordWrap/>
              <w:overflowPunct/>
              <w:topLinePunct w:val="0"/>
              <w:autoSpaceDE/>
              <w:autoSpaceDN/>
              <w:bidi w:val="0"/>
              <w:adjustRightInd/>
              <w:snapToGrid/>
              <w:spacing w:line="360" w:lineRule="auto"/>
              <w:ind w:left="105" w:leftChars="50" w:right="105" w:rightChars="50"/>
              <w:jc w:val="center"/>
              <w:textAlignment w:val="auto"/>
              <w:rPr>
                <w:rStyle w:val="31"/>
                <w:rFonts w:hint="eastAsia" w:ascii="宋体" w:hAnsi="宋体" w:eastAsia="宋体" w:cs="宋体"/>
                <w:b/>
                <w:color w:val="auto"/>
                <w:sz w:val="24"/>
                <w:szCs w:val="24"/>
                <w:highlight w:val="none"/>
                <w:lang w:eastAsia="zh-Hans"/>
              </w:rPr>
            </w:pPr>
            <w:r>
              <w:rPr>
                <w:rStyle w:val="31"/>
                <w:rFonts w:hint="eastAsia" w:ascii="宋体" w:hAnsi="宋体" w:eastAsia="宋体" w:cs="宋体"/>
                <w:b/>
                <w:color w:val="auto"/>
                <w:sz w:val="24"/>
                <w:szCs w:val="24"/>
                <w:highlight w:val="none"/>
                <w:lang w:eastAsia="zh-Hans"/>
              </w:rPr>
              <w:t>业绩</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46666AF8">
            <w:pPr>
              <w:pStyle w:val="28"/>
              <w:keepNext w:val="0"/>
              <w:keepLines w:val="0"/>
              <w:pageBreakBefore w:val="0"/>
              <w:numPr>
                <w:ilvl w:val="0"/>
                <w:numId w:val="0"/>
              </w:numPr>
              <w:overflowPunct/>
              <w:topLinePunct w:val="0"/>
              <w:bidi w:val="0"/>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w:t>
            </w:r>
            <w:r>
              <w:rPr>
                <w:rFonts w:hint="eastAsia" w:hAnsi="宋体" w:cs="宋体"/>
                <w:color w:val="auto"/>
                <w:sz w:val="24"/>
                <w:szCs w:val="24"/>
                <w:highlight w:val="none"/>
                <w:lang w:val="en-US" w:eastAsia="zh-CN"/>
              </w:rPr>
              <w:t>自2023年1月1日以来至本项目开标前（以合同签订时间为准）</w:t>
            </w:r>
            <w:r>
              <w:rPr>
                <w:rFonts w:hint="eastAsia" w:ascii="宋体" w:hAnsi="宋体" w:eastAsia="宋体" w:cs="宋体"/>
                <w:color w:val="auto"/>
                <w:sz w:val="24"/>
                <w:szCs w:val="24"/>
                <w:highlight w:val="none"/>
                <w:lang w:val="en-US" w:eastAsia="zh-CN"/>
              </w:rPr>
              <w:t>具备类似</w:t>
            </w:r>
            <w:r>
              <w:rPr>
                <w:rFonts w:hint="eastAsia" w:hAnsi="宋体" w:cs="宋体"/>
                <w:color w:val="auto"/>
                <w:sz w:val="24"/>
                <w:szCs w:val="24"/>
                <w:highlight w:val="none"/>
                <w:lang w:val="en-US" w:eastAsia="zh-CN"/>
              </w:rPr>
              <w:t>业绩</w:t>
            </w:r>
            <w:r>
              <w:rPr>
                <w:rFonts w:hint="eastAsia" w:ascii="宋体" w:hAnsi="宋体" w:eastAsia="宋体" w:cs="宋体"/>
                <w:color w:val="auto"/>
                <w:sz w:val="24"/>
                <w:szCs w:val="24"/>
                <w:highlight w:val="none"/>
                <w:lang w:val="en-US" w:eastAsia="zh-CN"/>
              </w:rPr>
              <w:t>，提供一份得</w:t>
            </w:r>
            <w:r>
              <w:rPr>
                <w:rFonts w:hint="eastAsia" w:hAnsi="宋体" w:cs="宋体"/>
                <w:color w:val="auto"/>
                <w:sz w:val="24"/>
                <w:szCs w:val="24"/>
                <w:highlight w:val="none"/>
                <w:lang w:val="en-US" w:eastAsia="zh-CN"/>
              </w:rPr>
              <w:t>1.5</w:t>
            </w:r>
            <w:r>
              <w:rPr>
                <w:rFonts w:hint="eastAsia" w:ascii="宋体" w:hAnsi="宋体" w:eastAsia="宋体" w:cs="宋体"/>
                <w:color w:val="auto"/>
                <w:sz w:val="24"/>
                <w:szCs w:val="24"/>
                <w:highlight w:val="none"/>
                <w:lang w:val="en-US" w:eastAsia="zh-CN"/>
              </w:rPr>
              <w:t>分，最高得</w:t>
            </w:r>
            <w:r>
              <w:rPr>
                <w:rFonts w:hint="eastAsia"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4EEB5AFE">
            <w:pPr>
              <w:pStyle w:val="28"/>
              <w:keepNext w:val="0"/>
              <w:keepLines w:val="0"/>
              <w:pageBreakBefore w:val="0"/>
              <w:numPr>
                <w:ilvl w:val="0"/>
                <w:numId w:val="0"/>
              </w:numPr>
              <w:overflowPunct/>
              <w:topLinePunct w:val="0"/>
              <w:bidi w:val="0"/>
              <w:spacing w:line="360" w:lineRule="auto"/>
              <w:ind w:left="0" w:leftChars="0" w:firstLine="0" w:firstLineChars="0"/>
              <w:rPr>
                <w:rFonts w:hint="eastAsia" w:ascii="宋体" w:hAnsi="宋体" w:eastAsia="宋体" w:cs="宋体"/>
                <w:b w:val="0"/>
                <w:bCs w:val="0"/>
                <w:color w:val="auto"/>
                <w:spacing w:val="0"/>
                <w:w w:val="100"/>
                <w:position w:val="0"/>
                <w:sz w:val="24"/>
                <w:szCs w:val="24"/>
                <w:highlight w:val="none"/>
              </w:rPr>
            </w:pPr>
            <w:r>
              <w:rPr>
                <w:rFonts w:hint="eastAsia" w:ascii="宋体" w:hAnsi="宋体" w:eastAsia="宋体" w:cs="宋体"/>
                <w:b/>
                <w:bCs/>
                <w:color w:val="auto"/>
                <w:sz w:val="24"/>
                <w:szCs w:val="24"/>
                <w:highlight w:val="none"/>
                <w:lang w:val="en-US" w:eastAsia="zh-CN"/>
              </w:rPr>
              <w:t>评审依据：提供中标</w:t>
            </w:r>
            <w:r>
              <w:rPr>
                <w:rFonts w:hint="eastAsia" w:hAnsi="宋体" w:cs="宋体"/>
                <w:b/>
                <w:bCs/>
                <w:color w:val="auto"/>
                <w:sz w:val="24"/>
                <w:szCs w:val="24"/>
                <w:highlight w:val="none"/>
                <w:lang w:val="en-US" w:eastAsia="zh-CN"/>
              </w:rPr>
              <w:t>（成交）</w:t>
            </w:r>
            <w:r>
              <w:rPr>
                <w:rFonts w:hint="eastAsia" w:ascii="宋体" w:hAnsi="宋体" w:eastAsia="宋体" w:cs="宋体"/>
                <w:b/>
                <w:bCs/>
                <w:color w:val="auto"/>
                <w:sz w:val="24"/>
                <w:szCs w:val="24"/>
                <w:highlight w:val="none"/>
                <w:lang w:val="en-US" w:eastAsia="zh-CN"/>
              </w:rPr>
              <w:t>公示</w:t>
            </w:r>
            <w:r>
              <w:rPr>
                <w:rFonts w:hint="eastAsia" w:hAnsi="宋体" w:cs="宋体"/>
                <w:b/>
                <w:bCs/>
                <w:color w:val="auto"/>
                <w:sz w:val="24"/>
                <w:szCs w:val="24"/>
                <w:highlight w:val="none"/>
                <w:lang w:val="en-US" w:eastAsia="zh-CN"/>
              </w:rPr>
              <w:t>网站</w:t>
            </w:r>
            <w:r>
              <w:rPr>
                <w:rFonts w:hint="eastAsia" w:ascii="宋体" w:hAnsi="宋体" w:eastAsia="宋体" w:cs="宋体"/>
                <w:b/>
                <w:bCs/>
                <w:color w:val="auto"/>
                <w:sz w:val="24"/>
                <w:szCs w:val="24"/>
                <w:highlight w:val="none"/>
                <w:lang w:val="en-US" w:eastAsia="zh-CN"/>
              </w:rPr>
              <w:t>页面截图、中标</w:t>
            </w:r>
            <w:r>
              <w:rPr>
                <w:rFonts w:hint="eastAsia" w:hAnsi="宋体" w:cs="宋体"/>
                <w:b/>
                <w:bCs/>
                <w:color w:val="auto"/>
                <w:sz w:val="24"/>
                <w:szCs w:val="24"/>
                <w:highlight w:val="none"/>
                <w:lang w:val="en-US" w:eastAsia="zh-CN"/>
              </w:rPr>
              <w:t>（成交）</w:t>
            </w:r>
            <w:r>
              <w:rPr>
                <w:rFonts w:hint="eastAsia" w:ascii="宋体" w:hAnsi="宋体" w:eastAsia="宋体" w:cs="宋体"/>
                <w:b/>
                <w:bCs/>
                <w:color w:val="auto"/>
                <w:sz w:val="24"/>
                <w:szCs w:val="24"/>
                <w:highlight w:val="none"/>
                <w:lang w:val="en-US" w:eastAsia="zh-CN"/>
              </w:rPr>
              <w:t>通知书</w:t>
            </w:r>
            <w:r>
              <w:rPr>
                <w:rFonts w:hint="eastAsia" w:hAnsi="宋体" w:eastAsia="宋体" w:cs="宋体"/>
                <w:b/>
                <w:bCs/>
                <w:color w:val="auto"/>
                <w:sz w:val="24"/>
                <w:szCs w:val="24"/>
                <w:highlight w:val="none"/>
                <w:lang w:val="en-US" w:eastAsia="zh-CN"/>
              </w:rPr>
              <w:t>扫描件</w:t>
            </w:r>
            <w:r>
              <w:rPr>
                <w:rFonts w:hint="eastAsia" w:ascii="宋体" w:hAnsi="宋体" w:eastAsia="宋体" w:cs="宋体"/>
                <w:b/>
                <w:bCs/>
                <w:color w:val="auto"/>
                <w:sz w:val="24"/>
                <w:szCs w:val="24"/>
                <w:highlight w:val="none"/>
                <w:lang w:val="en-US" w:eastAsia="zh-CN"/>
              </w:rPr>
              <w:t>及合同</w:t>
            </w:r>
            <w:r>
              <w:rPr>
                <w:rFonts w:hint="eastAsia" w:hAnsi="宋体" w:eastAsia="宋体" w:cs="宋体"/>
                <w:b/>
                <w:bCs/>
                <w:color w:val="auto"/>
                <w:sz w:val="24"/>
                <w:szCs w:val="24"/>
                <w:highlight w:val="none"/>
                <w:lang w:val="en-US" w:eastAsia="zh-CN"/>
              </w:rPr>
              <w:t>扫描件</w:t>
            </w:r>
            <w:r>
              <w:rPr>
                <w:rFonts w:hint="eastAsia" w:ascii="宋体" w:hAnsi="宋体" w:eastAsia="宋体" w:cs="宋体"/>
                <w:b/>
                <w:bCs/>
                <w:color w:val="auto"/>
                <w:sz w:val="24"/>
                <w:szCs w:val="24"/>
                <w:highlight w:val="none"/>
                <w:lang w:val="en-US" w:eastAsia="zh-CN"/>
              </w:rPr>
              <w:t>加盖投标人公章，未提供不得分。</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00AAE31B">
            <w:pPr>
              <w:pStyle w:val="30"/>
              <w:keepNext w:val="0"/>
              <w:keepLines w:val="0"/>
              <w:pageBreakBefore w:val="0"/>
              <w:kinsoku/>
              <w:wordWrap/>
              <w:overflowPunct/>
              <w:topLinePunct w:val="0"/>
              <w:bidi w:val="0"/>
              <w:snapToGrid/>
              <w:spacing w:line="360" w:lineRule="auto"/>
              <w:jc w:val="center"/>
              <w:outlineLvl w:val="9"/>
              <w:rPr>
                <w:rFonts w:hint="eastAsia"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6分</w:t>
            </w:r>
          </w:p>
        </w:tc>
      </w:tr>
      <w:tr w14:paraId="59C8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302CB2EA">
            <w:pPr>
              <w:keepNext w:val="0"/>
              <w:keepLines w:val="0"/>
              <w:pageBreakBefore w:val="0"/>
              <w:widowControl/>
              <w:kinsoku/>
              <w:wordWrap/>
              <w:overflowPunct/>
              <w:topLinePunct w:val="0"/>
              <w:autoSpaceDE/>
              <w:autoSpaceDN/>
              <w:bidi w:val="0"/>
              <w:adjustRightInd/>
              <w:snapToGrid/>
              <w:spacing w:line="360" w:lineRule="auto"/>
              <w:ind w:left="105" w:leftChars="50" w:right="105" w:rightChars="50"/>
              <w:jc w:val="center"/>
              <w:textAlignment w:val="auto"/>
              <w:rPr>
                <w:rStyle w:val="31"/>
                <w:rFonts w:hint="eastAsia" w:ascii="宋体" w:hAnsi="宋体" w:eastAsia="宋体" w:cs="宋体"/>
                <w:b/>
                <w:color w:val="auto"/>
                <w:sz w:val="24"/>
                <w:szCs w:val="24"/>
                <w:highlight w:val="none"/>
                <w:lang w:val="en-US" w:eastAsia="zh-CN"/>
              </w:rPr>
            </w:pPr>
            <w:r>
              <w:rPr>
                <w:rStyle w:val="31"/>
                <w:rFonts w:hint="eastAsia" w:ascii="宋体" w:hAnsi="宋体" w:eastAsia="宋体" w:cs="宋体"/>
                <w:b/>
                <w:color w:val="auto"/>
                <w:sz w:val="24"/>
                <w:szCs w:val="24"/>
                <w:highlight w:val="none"/>
                <w:lang w:val="en-US" w:eastAsia="zh-CN"/>
              </w:rPr>
              <w:t>售后</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4E1924A0">
            <w:pPr>
              <w:pStyle w:val="28"/>
              <w:keepNext w:val="0"/>
              <w:keepLines w:val="0"/>
              <w:pageBreakBefore w:val="0"/>
              <w:numPr>
                <w:ilvl w:val="0"/>
                <w:numId w:val="0"/>
              </w:numPr>
              <w:overflowPunct/>
              <w:topLinePunct w:val="0"/>
              <w:bidi w:val="0"/>
              <w:spacing w:line="360" w:lineRule="auto"/>
              <w:rPr>
                <w:rFonts w:hint="eastAsia" w:ascii="宋体" w:hAnsi="宋体" w:cs="宋体"/>
                <w:color w:val="auto"/>
                <w:sz w:val="24"/>
                <w:szCs w:val="24"/>
                <w:highlight w:val="none"/>
                <w:lang w:val="zh-CN" w:eastAsia="zh-CN"/>
              </w:rPr>
            </w:pPr>
            <w:r>
              <w:rPr>
                <w:rFonts w:hint="eastAsia" w:ascii="宋体" w:hAnsi="宋体" w:cs="宋体"/>
                <w:color w:val="auto"/>
                <w:sz w:val="24"/>
                <w:szCs w:val="24"/>
                <w:highlight w:val="none"/>
                <w:lang w:val="zh-CN" w:eastAsia="zh-CN"/>
              </w:rPr>
              <w:t>所投产品质保期</w:t>
            </w:r>
            <w:r>
              <w:rPr>
                <w:rFonts w:hint="eastAsia" w:ascii="宋体" w:hAnsi="宋体" w:cs="宋体"/>
                <w:color w:val="auto"/>
                <w:sz w:val="24"/>
                <w:szCs w:val="24"/>
                <w:highlight w:val="none"/>
                <w:lang w:val="en-US" w:eastAsia="zh-CN"/>
              </w:rPr>
              <w:t>在满足招标文件的基础上，</w:t>
            </w:r>
            <w:r>
              <w:rPr>
                <w:rFonts w:hint="eastAsia" w:ascii="宋体" w:hAnsi="宋体" w:cs="宋体"/>
                <w:color w:val="auto"/>
                <w:sz w:val="24"/>
                <w:szCs w:val="24"/>
                <w:highlight w:val="none"/>
                <w:lang w:val="zh-CN" w:eastAsia="zh-CN"/>
              </w:rPr>
              <w:t>每增加一年得</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val="zh-CN" w:eastAsia="zh-CN"/>
              </w:rPr>
              <w:t>分，最高得</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val="zh-CN" w:eastAsia="zh-CN"/>
              </w:rPr>
              <w:t>分；</w:t>
            </w:r>
          </w:p>
          <w:p w14:paraId="1EAF01A7">
            <w:pPr>
              <w:pStyle w:val="28"/>
              <w:keepNext w:val="0"/>
              <w:keepLines w:val="0"/>
              <w:pageBreakBefore w:val="0"/>
              <w:numPr>
                <w:ilvl w:val="0"/>
                <w:numId w:val="0"/>
              </w:numPr>
              <w:overflowPunct/>
              <w:topLinePunct w:val="0"/>
              <w:bidi w:val="0"/>
              <w:spacing w:line="360" w:lineRule="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zh-CN" w:eastAsia="zh-CN"/>
              </w:rPr>
              <w:t>评分依据：提供承诺函加盖</w:t>
            </w:r>
            <w:r>
              <w:rPr>
                <w:rFonts w:hint="eastAsia" w:hAnsi="宋体" w:cs="宋体"/>
                <w:b/>
                <w:bCs/>
                <w:color w:val="auto"/>
                <w:sz w:val="24"/>
                <w:szCs w:val="24"/>
                <w:highlight w:val="none"/>
                <w:lang w:val="en-US" w:eastAsia="zh-CN"/>
              </w:rPr>
              <w:t>投标人</w:t>
            </w:r>
            <w:r>
              <w:rPr>
                <w:rFonts w:hint="eastAsia" w:ascii="宋体" w:hAnsi="宋体" w:cs="宋体"/>
                <w:b/>
                <w:bCs/>
                <w:color w:val="auto"/>
                <w:sz w:val="24"/>
                <w:szCs w:val="24"/>
                <w:highlight w:val="none"/>
                <w:lang w:val="zh-CN" w:eastAsia="zh-CN"/>
              </w:rPr>
              <w:t>公章。</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F72E03F">
            <w:pPr>
              <w:pStyle w:val="30"/>
              <w:keepNext w:val="0"/>
              <w:keepLines w:val="0"/>
              <w:pageBreakBefore w:val="0"/>
              <w:kinsoku/>
              <w:wordWrap/>
              <w:overflowPunct/>
              <w:topLinePunct w:val="0"/>
              <w:bidi w:val="0"/>
              <w:snapToGrid/>
              <w:spacing w:line="360" w:lineRule="auto"/>
              <w:jc w:val="center"/>
              <w:outlineLvl w:val="9"/>
              <w:rPr>
                <w:rFonts w:hint="eastAsia"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2分</w:t>
            </w:r>
          </w:p>
        </w:tc>
      </w:tr>
      <w:tr w14:paraId="3DD1B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trPr>
        <w:tc>
          <w:tcPr>
            <w:tcW w:w="1012" w:type="dxa"/>
            <w:tcBorders>
              <w:top w:val="single" w:color="auto" w:sz="4" w:space="0"/>
              <w:left w:val="single" w:color="auto" w:sz="4" w:space="0"/>
              <w:bottom w:val="single" w:color="auto" w:sz="4" w:space="0"/>
              <w:right w:val="single" w:color="auto" w:sz="4" w:space="0"/>
            </w:tcBorders>
            <w:noWrap w:val="0"/>
            <w:vAlign w:val="center"/>
          </w:tcPr>
          <w:p w14:paraId="1B52C0A4">
            <w:pPr>
              <w:keepNext w:val="0"/>
              <w:keepLines w:val="0"/>
              <w:pageBreakBefore w:val="0"/>
              <w:widowControl/>
              <w:kinsoku/>
              <w:wordWrap/>
              <w:overflowPunct/>
              <w:topLinePunct w:val="0"/>
              <w:autoSpaceDE/>
              <w:autoSpaceDN/>
              <w:bidi w:val="0"/>
              <w:adjustRightInd/>
              <w:snapToGrid/>
              <w:spacing w:line="360" w:lineRule="auto"/>
              <w:ind w:left="105" w:leftChars="50" w:right="105" w:rightChars="50"/>
              <w:jc w:val="center"/>
              <w:textAlignment w:val="auto"/>
              <w:rPr>
                <w:rStyle w:val="31"/>
                <w:rFonts w:hint="eastAsia" w:ascii="宋体" w:hAnsi="宋体" w:eastAsia="宋体" w:cs="宋体"/>
                <w:b/>
                <w:color w:val="auto"/>
                <w:sz w:val="24"/>
                <w:szCs w:val="24"/>
                <w:highlight w:val="none"/>
                <w:lang w:eastAsia="zh-Hans"/>
              </w:rPr>
            </w:pPr>
            <w:r>
              <w:rPr>
                <w:rStyle w:val="31"/>
                <w:rFonts w:hint="eastAsia" w:ascii="宋体" w:hAnsi="宋体" w:eastAsia="宋体" w:cs="宋体"/>
                <w:b/>
                <w:color w:val="auto"/>
                <w:sz w:val="24"/>
                <w:szCs w:val="24"/>
                <w:highlight w:val="none"/>
                <w:lang w:val="en-US" w:eastAsia="zh-CN"/>
              </w:rPr>
              <w:t>响应时间</w:t>
            </w:r>
          </w:p>
        </w:tc>
        <w:tc>
          <w:tcPr>
            <w:tcW w:w="7636" w:type="dxa"/>
            <w:tcBorders>
              <w:top w:val="single" w:color="auto" w:sz="4" w:space="0"/>
              <w:left w:val="single" w:color="auto" w:sz="4" w:space="0"/>
              <w:bottom w:val="single" w:color="auto" w:sz="4" w:space="0"/>
              <w:right w:val="single" w:color="auto" w:sz="4" w:space="0"/>
            </w:tcBorders>
            <w:noWrap w:val="0"/>
            <w:vAlign w:val="center"/>
          </w:tcPr>
          <w:p w14:paraId="70F5DA81">
            <w:pPr>
              <w:pStyle w:val="28"/>
              <w:keepNext w:val="0"/>
              <w:keepLines w:val="0"/>
              <w:pageBreakBefore w:val="0"/>
              <w:numPr>
                <w:ilvl w:val="0"/>
                <w:numId w:val="0"/>
              </w:numPr>
              <w:overflowPunct/>
              <w:topLinePunct w:val="0"/>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接到釆购人要求供货的通知后，投标人</w:t>
            </w:r>
            <w:r>
              <w:rPr>
                <w:rFonts w:hint="eastAsia" w:hAnsi="宋体" w:eastAsia="宋体" w:cs="宋体"/>
                <w:b w:val="0"/>
                <w:bCs w:val="0"/>
                <w:color w:val="auto"/>
                <w:sz w:val="24"/>
                <w:szCs w:val="24"/>
                <w:highlight w:val="none"/>
                <w:lang w:val="en-US" w:eastAsia="zh-CN"/>
              </w:rPr>
              <w:t>4天</w:t>
            </w:r>
            <w:r>
              <w:rPr>
                <w:rFonts w:hint="eastAsia" w:ascii="宋体" w:hAnsi="宋体" w:eastAsia="宋体" w:cs="宋体"/>
                <w:b w:val="0"/>
                <w:bCs w:val="0"/>
                <w:color w:val="auto"/>
                <w:sz w:val="24"/>
                <w:szCs w:val="24"/>
                <w:highlight w:val="none"/>
                <w:lang w:val="en-US" w:eastAsia="zh-CN"/>
              </w:rPr>
              <w:t>内将货运至现场得</w:t>
            </w:r>
            <w:r>
              <w:rPr>
                <w:rFonts w:hint="eastAsia" w:hAnsi="宋体" w:eastAsia="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分；</w:t>
            </w:r>
          </w:p>
          <w:p w14:paraId="72AC7E7E">
            <w:pPr>
              <w:pStyle w:val="28"/>
              <w:keepNext w:val="0"/>
              <w:keepLines w:val="0"/>
              <w:pageBreakBefore w:val="0"/>
              <w:numPr>
                <w:ilvl w:val="0"/>
                <w:numId w:val="0"/>
              </w:numPr>
              <w:overflowPunct/>
              <w:topLinePunct w:val="0"/>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接到釆购人要求供货的通知后，投标人</w:t>
            </w:r>
            <w:r>
              <w:rPr>
                <w:rFonts w:hint="eastAsia" w:hAnsi="宋体" w:eastAsia="宋体" w:cs="宋体"/>
                <w:b w:val="0"/>
                <w:bCs w:val="0"/>
                <w:color w:val="auto"/>
                <w:sz w:val="24"/>
                <w:szCs w:val="24"/>
                <w:highlight w:val="none"/>
                <w:lang w:val="en-US" w:eastAsia="zh-CN"/>
              </w:rPr>
              <w:t>5天</w:t>
            </w:r>
            <w:r>
              <w:rPr>
                <w:rFonts w:hint="eastAsia" w:ascii="宋体" w:hAnsi="宋体" w:eastAsia="宋体" w:cs="宋体"/>
                <w:b w:val="0"/>
                <w:bCs w:val="0"/>
                <w:color w:val="auto"/>
                <w:sz w:val="24"/>
                <w:szCs w:val="24"/>
                <w:highlight w:val="none"/>
                <w:lang w:val="en-US" w:eastAsia="zh-CN"/>
              </w:rPr>
              <w:t>内将货运至现场得</w:t>
            </w:r>
            <w:r>
              <w:rPr>
                <w:rFonts w:hint="eastAsia"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分；</w:t>
            </w:r>
          </w:p>
          <w:p w14:paraId="7D0D1671">
            <w:pPr>
              <w:pStyle w:val="28"/>
              <w:keepNext w:val="0"/>
              <w:keepLines w:val="0"/>
              <w:pageBreakBefore w:val="0"/>
              <w:numPr>
                <w:ilvl w:val="0"/>
                <w:numId w:val="0"/>
              </w:numPr>
              <w:overflowPunct/>
              <w:topLinePunct w:val="0"/>
              <w:bidi w:val="0"/>
              <w:spacing w:line="360" w:lineRule="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接到釆购人要求供货的通知后，投标人</w:t>
            </w:r>
            <w:r>
              <w:rPr>
                <w:rFonts w:hint="eastAsia" w:hAnsi="宋体" w:eastAsia="宋体" w:cs="宋体"/>
                <w:b w:val="0"/>
                <w:bCs w:val="0"/>
                <w:color w:val="auto"/>
                <w:sz w:val="24"/>
                <w:szCs w:val="24"/>
                <w:highlight w:val="none"/>
                <w:lang w:val="en-US" w:eastAsia="zh-CN"/>
              </w:rPr>
              <w:t>6天</w:t>
            </w:r>
            <w:r>
              <w:rPr>
                <w:rFonts w:hint="eastAsia" w:ascii="宋体" w:hAnsi="宋体" w:eastAsia="宋体" w:cs="宋体"/>
                <w:b w:val="0"/>
                <w:bCs w:val="0"/>
                <w:color w:val="auto"/>
                <w:sz w:val="24"/>
                <w:szCs w:val="24"/>
                <w:highlight w:val="none"/>
                <w:lang w:val="en-US" w:eastAsia="zh-CN"/>
              </w:rPr>
              <w:t>内将货运至现场得1分；</w:t>
            </w:r>
          </w:p>
          <w:p w14:paraId="13C01735">
            <w:pPr>
              <w:pStyle w:val="28"/>
              <w:keepNext w:val="0"/>
              <w:keepLines w:val="0"/>
              <w:pageBreakBefore w:val="0"/>
              <w:numPr>
                <w:ilvl w:val="0"/>
                <w:numId w:val="0"/>
              </w:numPr>
              <w:overflowPunct/>
              <w:topLinePunct w:val="0"/>
              <w:bidi w:val="0"/>
              <w:spacing w:line="360" w:lineRule="auto"/>
              <w:ind w:left="0" w:leftChars="0" w:firstLine="0" w:firstLineChars="0"/>
              <w:rPr>
                <w:rFonts w:hint="eastAsia" w:ascii="宋体" w:hAnsi="宋体" w:eastAsia="宋体" w:cs="宋体"/>
                <w:b w:val="0"/>
                <w:bCs w:val="0"/>
                <w:color w:val="auto"/>
                <w:spacing w:val="0"/>
                <w:w w:val="100"/>
                <w:kern w:val="0"/>
                <w:position w:val="0"/>
                <w:sz w:val="24"/>
                <w:szCs w:val="24"/>
                <w:highlight w:val="none"/>
              </w:rPr>
            </w:pPr>
            <w:r>
              <w:rPr>
                <w:rFonts w:hint="eastAsia" w:ascii="宋体" w:hAnsi="宋体" w:eastAsia="宋体" w:cs="宋体"/>
                <w:b/>
                <w:bCs/>
                <w:color w:val="auto"/>
                <w:sz w:val="24"/>
                <w:szCs w:val="24"/>
                <w:highlight w:val="none"/>
                <w:lang w:val="en-US" w:eastAsia="zh-CN"/>
              </w:rPr>
              <w:t>评审依据：投标人提供响应时间承诺函加盖投标人公章</w:t>
            </w:r>
            <w:r>
              <w:rPr>
                <w:rFonts w:hint="eastAsia"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未提供不得分。</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2FF399DA">
            <w:pPr>
              <w:pStyle w:val="30"/>
              <w:keepNext w:val="0"/>
              <w:keepLines w:val="0"/>
              <w:pageBreakBefore w:val="0"/>
              <w:kinsoku/>
              <w:wordWrap/>
              <w:overflowPunct/>
              <w:topLinePunct w:val="0"/>
              <w:bidi w:val="0"/>
              <w:snapToGrid/>
              <w:spacing w:line="360" w:lineRule="auto"/>
              <w:jc w:val="center"/>
              <w:outlineLvl w:val="9"/>
              <w:rPr>
                <w:rFonts w:hint="eastAsia" w:asciiTheme="minorEastAsia" w:hAnsiTheme="minorEastAsia" w:eastAsiaTheme="minorEastAsia" w:cstheme="minorEastAsia"/>
                <w:color w:val="auto"/>
                <w:kern w:val="2"/>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3分</w:t>
            </w:r>
          </w:p>
        </w:tc>
      </w:tr>
    </w:tbl>
    <w:p w14:paraId="7A25A4DC">
      <w:pPr>
        <w:keepNext w:val="0"/>
        <w:keepLines w:val="0"/>
        <w:pageBreakBefore w:val="0"/>
        <w:widowControl w:val="0"/>
        <w:wordWrap/>
        <w:overflowPunct/>
        <w:topLinePunct w:val="0"/>
        <w:bidi w:val="0"/>
        <w:spacing w:line="360" w:lineRule="auto"/>
        <w:rPr>
          <w:color w:val="auto"/>
          <w:spacing w:val="0"/>
          <w:w w:val="100"/>
          <w:position w:val="0"/>
          <w:highlight w:val="none"/>
          <w:lang w:eastAsia="zh-CN"/>
        </w:rPr>
      </w:pPr>
    </w:p>
    <w:p w14:paraId="184D5D15">
      <w:pPr>
        <w:rPr>
          <w:rFonts w:hint="eastAsia"/>
          <w:lang w:val="en-US" w:eastAsia="zh-CN"/>
        </w:rPr>
      </w:pPr>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1128B">
    <w:pPr>
      <w:pStyle w:val="10"/>
      <w:rPr>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53C486">
                          <w:pPr>
                            <w:pStyle w:val="10"/>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653C486">
                    <w:pPr>
                      <w:pStyle w:val="10"/>
                    </w:pPr>
                    <w:r>
                      <w:fldChar w:fldCharType="begin"/>
                    </w:r>
                    <w:r>
                      <w:instrText xml:space="preserve"> PAGE  \* MERGEFORMAT </w:instrText>
                    </w:r>
                    <w:r>
                      <w:fldChar w:fldCharType="separate"/>
                    </w:r>
                    <w: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C859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4MGVkYTg5OTA5N2I0MjFiMjAzYzIyZmRhNzRjZGMifQ=="/>
    <w:docVar w:name="KSO_WPS_MARK_KEY" w:val="b7f6a430-581b-4d6d-90ac-c0fdf6c69b99"/>
  </w:docVars>
  <w:rsids>
    <w:rsidRoot w:val="00000000"/>
    <w:rsid w:val="014D36CD"/>
    <w:rsid w:val="02657F3A"/>
    <w:rsid w:val="032D1C8B"/>
    <w:rsid w:val="050470AD"/>
    <w:rsid w:val="07EE3A43"/>
    <w:rsid w:val="0893749F"/>
    <w:rsid w:val="092811AA"/>
    <w:rsid w:val="096F51F2"/>
    <w:rsid w:val="0ABA05E1"/>
    <w:rsid w:val="0CBD21BF"/>
    <w:rsid w:val="0EA224A6"/>
    <w:rsid w:val="0F0D5446"/>
    <w:rsid w:val="0FCD24DF"/>
    <w:rsid w:val="10442DF5"/>
    <w:rsid w:val="188954CF"/>
    <w:rsid w:val="19193C38"/>
    <w:rsid w:val="1EE74B73"/>
    <w:rsid w:val="25D32EFB"/>
    <w:rsid w:val="268D3316"/>
    <w:rsid w:val="27BE6FF8"/>
    <w:rsid w:val="2C8671CD"/>
    <w:rsid w:val="2CE81CB5"/>
    <w:rsid w:val="2CF17FD9"/>
    <w:rsid w:val="2F20249B"/>
    <w:rsid w:val="2FB3086B"/>
    <w:rsid w:val="30EA7B6C"/>
    <w:rsid w:val="36B716C1"/>
    <w:rsid w:val="38CC1391"/>
    <w:rsid w:val="3AAA0541"/>
    <w:rsid w:val="3D790266"/>
    <w:rsid w:val="3FEB552D"/>
    <w:rsid w:val="40023379"/>
    <w:rsid w:val="487D7CB7"/>
    <w:rsid w:val="50D6294B"/>
    <w:rsid w:val="50F7359B"/>
    <w:rsid w:val="51477D95"/>
    <w:rsid w:val="52EE34C1"/>
    <w:rsid w:val="55F81F79"/>
    <w:rsid w:val="582241C7"/>
    <w:rsid w:val="5BA807F6"/>
    <w:rsid w:val="5BE31546"/>
    <w:rsid w:val="5D064542"/>
    <w:rsid w:val="5FDD6CEA"/>
    <w:rsid w:val="618D1EA5"/>
    <w:rsid w:val="62266F07"/>
    <w:rsid w:val="645455D7"/>
    <w:rsid w:val="68D0643D"/>
    <w:rsid w:val="69540E1C"/>
    <w:rsid w:val="6C1264F8"/>
    <w:rsid w:val="6EBE002F"/>
    <w:rsid w:val="6FAAD493"/>
    <w:rsid w:val="70433DC9"/>
    <w:rsid w:val="71816E6E"/>
    <w:rsid w:val="72250A97"/>
    <w:rsid w:val="75F10669"/>
    <w:rsid w:val="774B24E5"/>
    <w:rsid w:val="788543C8"/>
    <w:rsid w:val="78F56DDC"/>
    <w:rsid w:val="7BDA78A7"/>
    <w:rsid w:val="7F1C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outlineLvl w:val="0"/>
    </w:pPr>
    <w:rPr>
      <w:rFonts w:ascii="宋体"/>
      <w:sz w:val="28"/>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bCs/>
      <w:sz w:val="32"/>
      <w:szCs w:val="32"/>
    </w:rPr>
  </w:style>
  <w:style w:type="paragraph" w:styleId="4">
    <w:name w:val="heading 8"/>
    <w:basedOn w:val="1"/>
    <w:next w:val="1"/>
    <w:qFormat/>
    <w:uiPriority w:val="0"/>
    <w:pPr>
      <w:keepNext/>
      <w:keepLines/>
      <w:spacing w:before="240" w:after="64" w:line="320" w:lineRule="auto"/>
      <w:outlineLvl w:val="7"/>
    </w:pPr>
    <w:rPr>
      <w:rFonts w:ascii="Arial" w:hAnsi="Arial" w:eastAsia="黑体"/>
      <w:kern w:val="0"/>
      <w:sz w:val="24"/>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next w:val="1"/>
    <w:qFormat/>
    <w:uiPriority w:val="99"/>
    <w:pPr>
      <w:spacing w:after="120"/>
    </w:pPr>
  </w:style>
  <w:style w:type="paragraph" w:styleId="7">
    <w:name w:val="Body Text Indent"/>
    <w:basedOn w:val="1"/>
    <w:next w:val="8"/>
    <w:qFormat/>
    <w:uiPriority w:val="0"/>
    <w:pPr>
      <w:autoSpaceDE w:val="0"/>
      <w:autoSpaceDN w:val="0"/>
      <w:adjustRightInd w:val="0"/>
      <w:spacing w:line="360" w:lineRule="auto"/>
      <w:ind w:firstLine="480"/>
      <w:jc w:val="left"/>
    </w:pPr>
    <w:rPr>
      <w:rFonts w:ascii="宋体" w:hAnsi="宋体"/>
      <w:kern w:val="0"/>
      <w:sz w:val="24"/>
    </w:rPr>
  </w:style>
  <w:style w:type="paragraph" w:styleId="8">
    <w:name w:val="envelope return"/>
    <w:basedOn w:val="1"/>
    <w:qFormat/>
    <w:uiPriority w:val="99"/>
    <w:pPr>
      <w:snapToGrid w:val="0"/>
    </w:pPr>
    <w:rPr>
      <w:rFonts w:ascii="Arial" w:hAnsi="Arial"/>
    </w:rPr>
  </w:style>
  <w:style w:type="paragraph" w:styleId="9">
    <w:name w:val="Plain Text"/>
    <w:basedOn w:val="1"/>
    <w:qFormat/>
    <w:uiPriority w:val="99"/>
    <w:rPr>
      <w:rFonts w:ascii="宋体" w:hAnsi="Courier New"/>
      <w:szCs w:val="21"/>
    </w:rPr>
  </w:style>
  <w:style w:type="paragraph" w:styleId="10">
    <w:name w:val="footer"/>
    <w:basedOn w:val="1"/>
    <w:qFormat/>
    <w:uiPriority w:val="99"/>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sz w:val="18"/>
      <w:szCs w:val="18"/>
    </w:rPr>
  </w:style>
  <w:style w:type="paragraph" w:styleId="12">
    <w:name w:val="toc 1"/>
    <w:basedOn w:val="1"/>
    <w:next w:val="1"/>
    <w:qFormat/>
    <w:uiPriority w:val="0"/>
    <w:pPr>
      <w:tabs>
        <w:tab w:val="right" w:leader="dot" w:pos="10070"/>
      </w:tabs>
      <w:spacing w:line="840" w:lineRule="exact"/>
      <w:ind w:left="1152" w:hanging="1152" w:hangingChars="360"/>
    </w:pPr>
  </w:style>
  <w:style w:type="paragraph" w:styleId="13">
    <w:name w:val="toc 2"/>
    <w:basedOn w:val="1"/>
    <w:next w:val="1"/>
    <w:qFormat/>
    <w:uiPriority w:val="39"/>
    <w:pPr>
      <w:tabs>
        <w:tab w:val="right" w:leader="dot" w:pos="9629"/>
      </w:tabs>
    </w:pPr>
  </w:style>
  <w:style w:type="paragraph" w:styleId="14">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5">
    <w:name w:val="Title"/>
    <w:basedOn w:val="1"/>
    <w:next w:val="1"/>
    <w:qFormat/>
    <w:uiPriority w:val="99"/>
    <w:pPr>
      <w:spacing w:line="640" w:lineRule="atLeast"/>
      <w:jc w:val="center"/>
    </w:pPr>
    <w:rPr>
      <w:rFonts w:ascii="Arial" w:hAnsi="Arial" w:eastAsia="方正小标宋_GBK" w:cs="Arial"/>
      <w:bCs/>
      <w:szCs w:val="32"/>
    </w:rPr>
  </w:style>
  <w:style w:type="paragraph" w:styleId="16">
    <w:name w:val="Body Text First Indent"/>
    <w:basedOn w:val="6"/>
    <w:next w:val="17"/>
    <w:qFormat/>
    <w:uiPriority w:val="0"/>
    <w:pPr>
      <w:ind w:firstLine="420" w:firstLineChars="100"/>
    </w:pPr>
  </w:style>
  <w:style w:type="paragraph" w:styleId="17">
    <w:name w:val="Body Text First Indent 2"/>
    <w:basedOn w:val="7"/>
    <w:next w:val="1"/>
    <w:qFormat/>
    <w:uiPriority w:val="0"/>
    <w:pPr>
      <w:autoSpaceDE/>
      <w:autoSpaceDN/>
      <w:adjustRightInd/>
      <w:spacing w:after="120" w:line="240" w:lineRule="auto"/>
      <w:ind w:left="420" w:leftChars="200" w:firstLine="420" w:firstLineChars="200"/>
      <w:jc w:val="both"/>
    </w:pPr>
    <w:rPr>
      <w:rFonts w:ascii="Times New Roman" w:hAnsi="Times New Roman"/>
      <w:kern w:val="2"/>
      <w:sz w:val="21"/>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1">
    <w:name w:val="正文缩进1"/>
    <w:basedOn w:val="1"/>
    <w:qFormat/>
    <w:uiPriority w:val="0"/>
    <w:pPr>
      <w:ind w:firstLine="200" w:firstLineChars="200"/>
    </w:pPr>
    <w:rPr>
      <w:szCs w:val="24"/>
    </w:rPr>
  </w:style>
  <w:style w:type="paragraph" w:customStyle="1" w:styleId="22">
    <w:name w:val="UserStyle_0"/>
    <w:basedOn w:val="1"/>
    <w:qFormat/>
    <w:uiPriority w:val="0"/>
    <w:pPr>
      <w:ind w:left="482" w:firstLine="200" w:firstLineChars="200"/>
      <w:textAlignment w:val="baseline"/>
    </w:pPr>
  </w:style>
  <w:style w:type="paragraph" w:customStyle="1" w:styleId="23">
    <w:name w:val="正文 New"/>
    <w:qFormat/>
    <w:uiPriority w:val="0"/>
    <w:pPr>
      <w:widowControl w:val="0"/>
      <w:jc w:val="both"/>
    </w:pPr>
    <w:rPr>
      <w:rFonts w:ascii="Calibri" w:hAnsi="Calibri" w:eastAsia="宋体" w:cs="黑体"/>
      <w:kern w:val="2"/>
      <w:sz w:val="21"/>
      <w:szCs w:val="24"/>
      <w:lang w:val="en-US" w:eastAsia="zh-CN" w:bidi="ar-SA"/>
    </w:rPr>
  </w:style>
  <w:style w:type="paragraph" w:customStyle="1" w:styleId="24">
    <w:name w:val="Table Paragraph"/>
    <w:basedOn w:val="1"/>
    <w:qFormat/>
    <w:uiPriority w:val="1"/>
  </w:style>
  <w:style w:type="paragraph" w:customStyle="1" w:styleId="25">
    <w:name w:val="Body text|1"/>
    <w:basedOn w:val="1"/>
    <w:qFormat/>
    <w:uiPriority w:val="0"/>
    <w:pPr>
      <w:spacing w:line="403" w:lineRule="auto"/>
    </w:pPr>
    <w:rPr>
      <w:rFonts w:ascii="宋体" w:hAnsi="宋体" w:cs="宋体"/>
      <w:sz w:val="20"/>
      <w:lang w:val="zh-TW" w:eastAsia="zh-TW" w:bidi="zh-TW"/>
    </w:rPr>
  </w:style>
  <w:style w:type="table" w:customStyle="1" w:styleId="26">
    <w:name w:val="Table Normal"/>
    <w:semiHidden/>
    <w:unhideWhenUsed/>
    <w:qFormat/>
    <w:uiPriority w:val="0"/>
    <w:rPr>
      <w:rFonts w:ascii="Arial" w:hAnsi="Arial" w:eastAsia="等线" w:cs="Arial"/>
      <w:snapToGrid w:val="0"/>
      <w:color w:val="000000"/>
      <w:sz w:val="21"/>
      <w:szCs w:val="21"/>
    </w:rPr>
    <w:tblPr>
      <w:tblCellMar>
        <w:top w:w="0" w:type="dxa"/>
        <w:left w:w="0" w:type="dxa"/>
        <w:bottom w:w="0" w:type="dxa"/>
        <w:right w:w="0" w:type="dxa"/>
      </w:tblCellMar>
    </w:tblPr>
  </w:style>
  <w:style w:type="paragraph" w:customStyle="1" w:styleId="27">
    <w:name w:val="Heading 6"/>
    <w:basedOn w:val="1"/>
    <w:qFormat/>
    <w:uiPriority w:val="1"/>
    <w:pPr>
      <w:spacing w:before="14"/>
      <w:jc w:val="left"/>
      <w:outlineLvl w:val="6"/>
    </w:pPr>
    <w:rPr>
      <w:rFonts w:ascii="宋体" w:hAnsi="宋体"/>
      <w:kern w:val="0"/>
      <w:sz w:val="28"/>
      <w:szCs w:val="28"/>
      <w:lang w:eastAsia="en-US"/>
    </w:rPr>
  </w:style>
  <w:style w:type="paragraph" w:customStyle="1" w:styleId="28">
    <w:name w:val="PlainText"/>
    <w:basedOn w:val="1"/>
    <w:qFormat/>
    <w:uiPriority w:val="0"/>
    <w:pPr>
      <w:jc w:val="both"/>
      <w:textAlignment w:val="baseline"/>
    </w:pPr>
    <w:rPr>
      <w:rFonts w:ascii="宋体" w:hAnsi="Courier New"/>
      <w:kern w:val="2"/>
      <w:sz w:val="21"/>
      <w:szCs w:val="24"/>
      <w:lang w:val="en-US" w:eastAsia="zh-CN" w:bidi="ar-SA"/>
    </w:rPr>
  </w:style>
  <w:style w:type="paragraph" w:customStyle="1" w:styleId="29">
    <w:name w:val="纯文本1"/>
    <w:basedOn w:val="1"/>
    <w:qFormat/>
    <w:uiPriority w:val="99"/>
    <w:rPr>
      <w:rFonts w:ascii="宋体" w:hAnsi="Courier New"/>
      <w:kern w:val="0"/>
      <w:sz w:val="20"/>
    </w:rPr>
  </w:style>
  <w:style w:type="paragraph" w:customStyle="1" w:styleId="3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1">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363</Words>
  <Characters>420</Characters>
  <Lines>0</Lines>
  <Paragraphs>0</Paragraphs>
  <TotalTime>1</TotalTime>
  <ScaleCrop>false</ScaleCrop>
  <LinksUpToDate>false</LinksUpToDate>
  <CharactersWithSpaces>427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2023-10-08T02:25:00Z</dcterms:created>
  <dc:creator>吴国锋</dc:creator>
  <cp:lastModifiedBy>Clytze</cp:lastModifiedBy>
  <cp:lastPrinted>2025-04-03T06:55:00Z</cp:lastPrinted>
  <dcterms:modified xsi:type="dcterms:W3CDTF">2026-07-21T01:11:52Z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F5B0011CFA514F59A54212A8857B05B6_13</vt:lpwstr>
  </property>
  <property fmtid="{D5CDD505-2E9C-101B-9397-08002B2CF9AE}" pid="4" name="KSOTemplateDocerSaveRecord">
    <vt:lpwstr>eyJoZGlkIjoiYzI4NDlmMDhjNjE5NThkMzI5YzUwOTM0OTg3YzQ1ZDEiLCJ1c2VySWQiOiIyODAzMzM3OTUifQ==</vt:lpwstr>
  </property>
</Properties>
</file>